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C9432" w14:textId="77777777" w:rsidR="00701F9D" w:rsidRDefault="00701F9D" w:rsidP="00746780">
      <w:pPr>
        <w:jc w:val="center"/>
        <w:rPr>
          <w:b/>
        </w:rPr>
      </w:pPr>
    </w:p>
    <w:p w14:paraId="76CFFC04" w14:textId="65107099" w:rsidR="00746780" w:rsidRPr="00EC42EC" w:rsidRDefault="00746780" w:rsidP="00746780">
      <w:pPr>
        <w:jc w:val="center"/>
        <w:rPr>
          <w:b/>
        </w:rPr>
      </w:pPr>
      <w:r>
        <w:rPr>
          <w:b/>
        </w:rPr>
        <w:t>ROTA PORTFÖY YÖNETİMİ A.Ş. SERBEST</w:t>
      </w:r>
      <w:r w:rsidRPr="00EC42EC">
        <w:rPr>
          <w:b/>
        </w:rPr>
        <w:t xml:space="preserve"> ŞEMSİYE FON’A BAĞLI </w:t>
      </w:r>
    </w:p>
    <w:p w14:paraId="24042EF3" w14:textId="51D27C7B" w:rsidR="00746780" w:rsidRPr="00EC42EC" w:rsidRDefault="00746780" w:rsidP="00746780">
      <w:pPr>
        <w:jc w:val="center"/>
        <w:rPr>
          <w:b/>
        </w:rPr>
      </w:pPr>
      <w:r>
        <w:rPr>
          <w:b/>
        </w:rPr>
        <w:t>ROTA PORTFÖY</w:t>
      </w:r>
      <w:r w:rsidR="00EE6538">
        <w:rPr>
          <w:b/>
        </w:rPr>
        <w:t xml:space="preserve"> </w:t>
      </w:r>
      <w:bookmarkStart w:id="0" w:name="_Hlk107844648"/>
      <w:r w:rsidR="00EE6538">
        <w:rPr>
          <w:b/>
        </w:rPr>
        <w:t>HİSSE SENEDİ</w:t>
      </w:r>
      <w:r w:rsidR="00D02F73">
        <w:rPr>
          <w:b/>
        </w:rPr>
        <w:t xml:space="preserve"> </w:t>
      </w:r>
      <w:r>
        <w:rPr>
          <w:b/>
        </w:rPr>
        <w:t xml:space="preserve">SERBEST (TL) </w:t>
      </w:r>
      <w:r w:rsidRPr="00EC42EC">
        <w:rPr>
          <w:b/>
        </w:rPr>
        <w:t>FON</w:t>
      </w:r>
      <w:r w:rsidR="00D02F73">
        <w:rPr>
          <w:b/>
        </w:rPr>
        <w:t xml:space="preserve"> (HİSSE SENEDİ YOĞUN FON)</w:t>
      </w:r>
      <w:bookmarkEnd w:id="0"/>
      <w:r>
        <w:rPr>
          <w:b/>
        </w:rPr>
        <w:t>’</w:t>
      </w:r>
      <w:r w:rsidRPr="00EC42EC">
        <w:rPr>
          <w:b/>
        </w:rPr>
        <w:t xml:space="preserve">UN </w:t>
      </w:r>
    </w:p>
    <w:p w14:paraId="4F89DFBE" w14:textId="77777777" w:rsidR="00746780" w:rsidRPr="00EC42EC" w:rsidRDefault="00746780" w:rsidP="00746780">
      <w:pPr>
        <w:jc w:val="center"/>
        <w:rPr>
          <w:b/>
        </w:rPr>
      </w:pPr>
      <w:r w:rsidRPr="00EC42EC">
        <w:rPr>
          <w:b/>
        </w:rPr>
        <w:t>KATILMA PAYLARININ İHRACINA İLİŞKİN</w:t>
      </w:r>
    </w:p>
    <w:p w14:paraId="77595017" w14:textId="77777777" w:rsidR="00746780" w:rsidRPr="00EC42EC" w:rsidRDefault="00746780" w:rsidP="00746780">
      <w:pPr>
        <w:jc w:val="center"/>
      </w:pPr>
      <w:r w:rsidRPr="00EC42EC">
        <w:rPr>
          <w:b/>
        </w:rPr>
        <w:t>İZAHNAME</w:t>
      </w:r>
    </w:p>
    <w:p w14:paraId="38627AEA" w14:textId="77777777" w:rsidR="00746780" w:rsidRPr="00EC42EC" w:rsidRDefault="00746780" w:rsidP="00746780"/>
    <w:p w14:paraId="351246E3" w14:textId="4F37FC48" w:rsidR="00746780" w:rsidRPr="00EC42EC" w:rsidRDefault="00746780" w:rsidP="00746780">
      <w:pPr>
        <w:rPr>
          <w:b/>
        </w:rPr>
      </w:pPr>
      <w:r>
        <w:rPr>
          <w:b/>
        </w:rPr>
        <w:t>Rota</w:t>
      </w:r>
      <w:r w:rsidRPr="00EC42EC">
        <w:rPr>
          <w:b/>
        </w:rPr>
        <w:t xml:space="preserve"> Portföy Yönetimi A.Ş. tarafından 6362 sayılı Sermaye Piyasası Kanunu'nun 52. ve 54. maddelerine dayanılarak, </w:t>
      </w:r>
      <w:r>
        <w:rPr>
          <w:b/>
        </w:rPr>
        <w:t>11/03/2022</w:t>
      </w:r>
      <w:r w:rsidRPr="00EC42EC">
        <w:rPr>
          <w:b/>
        </w:rPr>
        <w:t xml:space="preserve"> tarihinde </w:t>
      </w:r>
      <w:r>
        <w:rPr>
          <w:b/>
        </w:rPr>
        <w:t>İstanbul</w:t>
      </w:r>
      <w:r w:rsidRPr="00EC42EC">
        <w:rPr>
          <w:b/>
        </w:rPr>
        <w:t xml:space="preserve"> ili Ticaret Sicili Memurluğu’na </w:t>
      </w:r>
      <w:r>
        <w:rPr>
          <w:b/>
        </w:rPr>
        <w:t>335946-5</w:t>
      </w:r>
      <w:r w:rsidRPr="00EC42EC">
        <w:rPr>
          <w:b/>
        </w:rPr>
        <w:t xml:space="preserve"> sicil numarası altında kaydedilerek </w:t>
      </w:r>
      <w:r>
        <w:rPr>
          <w:b/>
        </w:rPr>
        <w:t>16/03/2022</w:t>
      </w:r>
      <w:r w:rsidRPr="00EC42EC">
        <w:rPr>
          <w:b/>
        </w:rPr>
        <w:t xml:space="preserve"> tarih ve </w:t>
      </w:r>
      <w:r>
        <w:rPr>
          <w:b/>
        </w:rPr>
        <w:t>10538</w:t>
      </w:r>
      <w:r w:rsidRPr="00EC42EC">
        <w:rPr>
          <w:b/>
        </w:rPr>
        <w:t xml:space="preserve"> sayılı Türkiye Ticaret Sicili Gazetesi’nde ilan edilen </w:t>
      </w:r>
      <w:r>
        <w:rPr>
          <w:b/>
        </w:rPr>
        <w:t>Rota Portföy Yönetimi A.Ş. Serbest</w:t>
      </w:r>
      <w:r w:rsidRPr="00EC42EC">
        <w:rPr>
          <w:b/>
        </w:rPr>
        <w:t xml:space="preserve"> Şemsiye Fonu içtüzüğü ve bu izahname hükümlerine göre yönetilmek üzere oluşturulacak </w:t>
      </w:r>
      <w:bookmarkStart w:id="1" w:name="_Hlk107843992"/>
      <w:r>
        <w:rPr>
          <w:b/>
        </w:rPr>
        <w:t>Rota Portföy</w:t>
      </w:r>
      <w:r w:rsidR="00DF3AD9">
        <w:rPr>
          <w:b/>
        </w:rPr>
        <w:t xml:space="preserve"> </w:t>
      </w:r>
      <w:r w:rsidR="006601B7">
        <w:rPr>
          <w:b/>
        </w:rPr>
        <w:t xml:space="preserve">Hisse Senedi </w:t>
      </w:r>
      <w:r w:rsidR="00967784">
        <w:rPr>
          <w:b/>
        </w:rPr>
        <w:t>S</w:t>
      </w:r>
      <w:r>
        <w:rPr>
          <w:b/>
        </w:rPr>
        <w:t xml:space="preserve">erbest (TL) </w:t>
      </w:r>
      <w:r w:rsidRPr="00EC42EC">
        <w:rPr>
          <w:b/>
        </w:rPr>
        <w:t>Fon</w:t>
      </w:r>
      <w:r w:rsidR="00DB3DAB">
        <w:rPr>
          <w:b/>
        </w:rPr>
        <w:t xml:space="preserve"> (Hisse Senedi Yoğun Fon)</w:t>
      </w:r>
      <w:bookmarkEnd w:id="1"/>
      <w:r w:rsidRPr="00EC42EC">
        <w:rPr>
          <w:b/>
        </w:rPr>
        <w:t xml:space="preserve">’un katılma paylarının ihracına ilişkin bu izahname Sermaye Piyasası Kurulu tarafından </w:t>
      </w:r>
      <w:r w:rsidR="001E6BEF">
        <w:rPr>
          <w:b/>
        </w:rPr>
        <w:t>02</w:t>
      </w:r>
      <w:r w:rsidRPr="00EC42EC">
        <w:rPr>
          <w:b/>
        </w:rPr>
        <w:t>/</w:t>
      </w:r>
      <w:r w:rsidR="001E6BEF">
        <w:rPr>
          <w:b/>
        </w:rPr>
        <w:t>09</w:t>
      </w:r>
      <w:r w:rsidRPr="00EC42EC">
        <w:rPr>
          <w:b/>
        </w:rPr>
        <w:t>/</w:t>
      </w:r>
      <w:r w:rsidR="001E6BEF">
        <w:rPr>
          <w:b/>
        </w:rPr>
        <w:t xml:space="preserve">2022 </w:t>
      </w:r>
      <w:r>
        <w:rPr>
          <w:b/>
        </w:rPr>
        <w:t>tarihinde onaylanmıştır.</w:t>
      </w:r>
    </w:p>
    <w:p w14:paraId="1936512D" w14:textId="77777777" w:rsidR="00746780" w:rsidRPr="00EC42EC" w:rsidRDefault="00746780" w:rsidP="00746780">
      <w:pPr>
        <w:rPr>
          <w:b/>
        </w:rPr>
      </w:pPr>
    </w:p>
    <w:p w14:paraId="53D4F59A" w14:textId="77777777" w:rsidR="00746780" w:rsidRDefault="00746780" w:rsidP="00746780">
      <w:pPr>
        <w:rPr>
          <w:b/>
        </w:rPr>
      </w:pPr>
      <w:r w:rsidRPr="00EC42EC">
        <w:rPr>
          <w:b/>
        </w:rPr>
        <w:t xml:space="preserve">İzahnamenin onaylanması, izahnamede yer alan bilgilerin doğru olduğunun Kurulca tekeffülü anlamına gelmeyeceği gibi, izahnameye ilişkin bir tavsiye olarak da kabul edilemez. </w:t>
      </w:r>
    </w:p>
    <w:p w14:paraId="2BDEEF03" w14:textId="77777777" w:rsidR="006F7ABD" w:rsidRPr="00EC42EC" w:rsidRDefault="006F7ABD" w:rsidP="00746780">
      <w:pPr>
        <w:rPr>
          <w:b/>
        </w:rPr>
      </w:pPr>
    </w:p>
    <w:p w14:paraId="2284064E" w14:textId="77777777" w:rsidR="00746780" w:rsidRDefault="00746780" w:rsidP="00746780">
      <w:pPr>
        <w:spacing w:before="120"/>
        <w:rPr>
          <w:b/>
        </w:rPr>
      </w:pPr>
      <w:r w:rsidRPr="00EC42EC">
        <w:rPr>
          <w:b/>
        </w:rPr>
        <w:t>İhraç</w:t>
      </w:r>
      <w:r>
        <w:rPr>
          <w:b/>
        </w:rPr>
        <w:t xml:space="preserve"> </w:t>
      </w:r>
      <w:r w:rsidRPr="00EC42EC">
        <w:rPr>
          <w:b/>
        </w:rPr>
        <w:t>edilecek katılma paylarına ilişkin yatırım kararları izahnamenin bir bütün olarak değerlendirilmesi sonucu verilmelidir.</w:t>
      </w:r>
    </w:p>
    <w:p w14:paraId="3DF2AB5D" w14:textId="77777777" w:rsidR="006F7ABD" w:rsidRPr="00EC42EC" w:rsidRDefault="006F7ABD" w:rsidP="00746780">
      <w:pPr>
        <w:spacing w:before="120"/>
        <w:rPr>
          <w:b/>
        </w:rPr>
      </w:pPr>
    </w:p>
    <w:p w14:paraId="21A4DE23" w14:textId="77777777" w:rsidR="00746780" w:rsidRDefault="00746780" w:rsidP="00746780">
      <w:pPr>
        <w:spacing w:before="120"/>
        <w:rPr>
          <w:b/>
        </w:rPr>
      </w:pPr>
      <w:r w:rsidRPr="00EC42EC">
        <w:rPr>
          <w:b/>
        </w:rPr>
        <w:t xml:space="preserve">Bu izahname, Kurucu </w:t>
      </w:r>
      <w:r>
        <w:rPr>
          <w:b/>
        </w:rPr>
        <w:t xml:space="preserve">Rota </w:t>
      </w:r>
      <w:r w:rsidRPr="00EC42EC">
        <w:rPr>
          <w:b/>
        </w:rPr>
        <w:t>Portföy Yönetimi A.Ş.’nin adresli resmi internet sitesi (www</w:t>
      </w:r>
      <w:r>
        <w:rPr>
          <w:b/>
        </w:rPr>
        <w:t>.rotaportfoy.com.tr</w:t>
      </w:r>
      <w:r w:rsidRPr="00EC42EC">
        <w:rPr>
          <w:b/>
        </w:rPr>
        <w:t>) ile Kamuyu Aydınlatma Platformu (KAP)’nda (</w:t>
      </w:r>
      <w:hyperlink r:id="rId7" w:history="1">
        <w:r w:rsidR="006F7ABD" w:rsidRPr="00AC31DF">
          <w:rPr>
            <w:rStyle w:val="Kpr"/>
            <w:b/>
          </w:rPr>
          <w:t>www.kap.</w:t>
        </w:r>
        <w:r w:rsidR="006F7ABD" w:rsidRPr="00C30CBB">
          <w:rPr>
            <w:rStyle w:val="Kpr"/>
            <w:b/>
          </w:rPr>
          <w:t>org.tr</w:t>
        </w:r>
      </w:hyperlink>
      <w:r w:rsidRPr="00EC42EC">
        <w:rPr>
          <w:b/>
        </w:rPr>
        <w:t>) yayımlanmıştır</w:t>
      </w:r>
      <w:r>
        <w:rPr>
          <w:b/>
        </w:rPr>
        <w:t>.</w:t>
      </w:r>
      <w:r w:rsidRPr="0046508A">
        <w:rPr>
          <w:b/>
        </w:rPr>
        <w:t xml:space="preserve"> </w:t>
      </w:r>
      <w:r w:rsidRPr="00EC42EC">
        <w:rPr>
          <w:b/>
        </w:rPr>
        <w:t>İzahnamenin nerede yayımlandığı hususu</w:t>
      </w:r>
      <w:r>
        <w:rPr>
          <w:b/>
        </w:rPr>
        <w:t xml:space="preserve">nun tescili ve </w:t>
      </w:r>
      <w:r w:rsidRPr="00EC42EC">
        <w:rPr>
          <w:b/>
        </w:rPr>
        <w:t xml:space="preserve">TTSG’de ilan </w:t>
      </w:r>
      <w:r>
        <w:rPr>
          <w:b/>
        </w:rPr>
        <w:t>tarihine ilişkin bilgiler yatırımcı bilgi formunda yer almaktadır</w:t>
      </w:r>
      <w:r w:rsidRPr="00EC42EC">
        <w:rPr>
          <w:b/>
        </w:rPr>
        <w:t>.</w:t>
      </w:r>
    </w:p>
    <w:p w14:paraId="4CEAA5E7" w14:textId="77777777" w:rsidR="006F7ABD" w:rsidRDefault="006F7ABD" w:rsidP="00746780">
      <w:pPr>
        <w:spacing w:before="120"/>
        <w:rPr>
          <w:b/>
        </w:rPr>
      </w:pPr>
    </w:p>
    <w:p w14:paraId="60EB69CE" w14:textId="77777777" w:rsidR="00746780" w:rsidRPr="00EC42EC" w:rsidRDefault="00746780" w:rsidP="00746780">
      <w:pPr>
        <w:spacing w:before="120"/>
        <w:rPr>
          <w:b/>
        </w:rPr>
      </w:pPr>
      <w:r w:rsidRPr="00EC42EC">
        <w:rPr>
          <w:b/>
        </w:rPr>
        <w:t xml:space="preserve">Ayrıca bu izahname </w:t>
      </w:r>
      <w:r w:rsidRPr="00EC42EC">
        <w:rPr>
          <w:b/>
          <w:bCs/>
          <w:color w:val="000000"/>
        </w:rPr>
        <w:t xml:space="preserve">katılma paylarının alım satımının yapıldığı ortamlarda, şemsiye fon içtüzüğü </w:t>
      </w:r>
      <w:r>
        <w:rPr>
          <w:b/>
          <w:bCs/>
          <w:color w:val="000000"/>
        </w:rPr>
        <w:t>ve yatırımcı bilgi formu</w:t>
      </w:r>
      <w:r w:rsidRPr="00EC42EC">
        <w:rPr>
          <w:b/>
          <w:bCs/>
          <w:color w:val="000000"/>
        </w:rPr>
        <w:t xml:space="preserve"> </w:t>
      </w:r>
      <w:r w:rsidR="00335059" w:rsidRPr="00EC42EC">
        <w:rPr>
          <w:b/>
          <w:bCs/>
          <w:color w:val="000000"/>
        </w:rPr>
        <w:t>ile</w:t>
      </w:r>
      <w:r w:rsidRPr="00EC42EC">
        <w:rPr>
          <w:b/>
          <w:bCs/>
          <w:color w:val="000000"/>
        </w:rPr>
        <w:t>, talep edilmesi halinde ücretsiz olarak yatırımcılara verilir.</w:t>
      </w:r>
    </w:p>
    <w:p w14:paraId="4246EA57" w14:textId="77777777" w:rsidR="00746780" w:rsidRPr="00EC42EC" w:rsidRDefault="00746780" w:rsidP="00746780">
      <w:pPr>
        <w:spacing w:before="120"/>
        <w:rPr>
          <w:b/>
        </w:rPr>
      </w:pPr>
    </w:p>
    <w:p w14:paraId="3598D1AA" w14:textId="77777777" w:rsidR="00746780" w:rsidRPr="00EC42EC" w:rsidRDefault="00746780" w:rsidP="00746780">
      <w:pPr>
        <w:spacing w:before="120"/>
        <w:rPr>
          <w:b/>
        </w:rPr>
      </w:pPr>
    </w:p>
    <w:p w14:paraId="42B03A3A" w14:textId="77777777" w:rsidR="00746780" w:rsidRPr="00EC42EC" w:rsidRDefault="00746780" w:rsidP="00746780">
      <w:pPr>
        <w:rPr>
          <w:bCs/>
          <w:color w:val="000000"/>
        </w:rPr>
      </w:pPr>
    </w:p>
    <w:p w14:paraId="7DB6AA3E" w14:textId="77777777" w:rsidR="00746780" w:rsidRPr="00DD3B5D" w:rsidRDefault="00746780" w:rsidP="00746780">
      <w:pPr>
        <w:rPr>
          <w:rFonts w:eastAsia="Calibri"/>
          <w:lang w:eastAsia="en-US"/>
        </w:rPr>
      </w:pPr>
    </w:p>
    <w:p w14:paraId="63AE114B" w14:textId="77777777" w:rsidR="00746780" w:rsidRPr="00EC42EC" w:rsidRDefault="00746780" w:rsidP="00746780"/>
    <w:p w14:paraId="27DA655B" w14:textId="77777777" w:rsidR="00746780" w:rsidRPr="00EC42EC" w:rsidRDefault="00746780" w:rsidP="00746780">
      <w:pPr>
        <w:jc w:val="center"/>
        <w:rPr>
          <w:b/>
        </w:rPr>
      </w:pPr>
      <w:r w:rsidRPr="00EC42EC">
        <w:br w:type="page"/>
      </w:r>
      <w:r w:rsidRPr="00EC42EC">
        <w:rPr>
          <w:b/>
        </w:rPr>
        <w:lastRenderedPageBreak/>
        <w:t>İÇİNDEKİLER</w:t>
      </w:r>
    </w:p>
    <w:p w14:paraId="006F183F" w14:textId="77777777" w:rsidR="00746780" w:rsidRDefault="00746780" w:rsidP="00746780">
      <w:pPr>
        <w:spacing w:before="120"/>
        <w:rPr>
          <w:b/>
        </w:rPr>
      </w:pPr>
    </w:p>
    <w:p w14:paraId="4101E79A" w14:textId="6E143122" w:rsidR="00746780" w:rsidRDefault="00746780" w:rsidP="00746780">
      <w:pPr>
        <w:spacing w:before="120" w:after="240"/>
        <w:ind w:right="327"/>
      </w:pPr>
      <w:bookmarkStart w:id="2" w:name="_Hlk98107873"/>
      <w:r>
        <w:t xml:space="preserve">I. FON HAKKINDA GENEL BİLGİLER </w:t>
      </w:r>
      <w:r w:rsidR="007F1D92">
        <w:t>…………………………………………...</w:t>
      </w:r>
      <w:r w:rsidR="00FF6157">
        <w:t>............</w:t>
      </w:r>
      <w:r>
        <w:t xml:space="preserve">3 </w:t>
      </w:r>
    </w:p>
    <w:p w14:paraId="011EDA10" w14:textId="7CF1790D" w:rsidR="00746780" w:rsidRDefault="00746780" w:rsidP="00746780">
      <w:pPr>
        <w:spacing w:after="240"/>
        <w:ind w:right="327"/>
      </w:pPr>
      <w:r>
        <w:t xml:space="preserve">II. FON PORTFÖYÜNÜN YÖNETİMİ, YATIRIM STRATEJİSİ İLE FON PORTFÖY SINIRLAMALARI </w:t>
      </w:r>
      <w:r w:rsidR="007F1D92">
        <w:t>…………………………………………………………………</w:t>
      </w:r>
      <w:r w:rsidR="00FF6157">
        <w:t>………...</w:t>
      </w:r>
      <w:r w:rsidR="00AC1993">
        <w:t>6</w:t>
      </w:r>
      <w:r>
        <w:t xml:space="preserve"> </w:t>
      </w:r>
    </w:p>
    <w:p w14:paraId="17A051F6" w14:textId="45CA6E8A" w:rsidR="00746780" w:rsidRDefault="00746780" w:rsidP="00746780">
      <w:pPr>
        <w:spacing w:after="240"/>
        <w:ind w:right="327"/>
      </w:pPr>
      <w:r>
        <w:t xml:space="preserve">III. TEMEL YATIRIM RİSKLERİ VE RİSKLERİN ÖLÇÜMÜ </w:t>
      </w:r>
      <w:r w:rsidR="007F1D92">
        <w:t>…………………...</w:t>
      </w:r>
      <w:r w:rsidR="00FF6157">
        <w:t>.............</w:t>
      </w:r>
      <w:r w:rsidR="003A56DE">
        <w:t>9</w:t>
      </w:r>
      <w:r>
        <w:t xml:space="preserve"> </w:t>
      </w:r>
    </w:p>
    <w:p w14:paraId="7C74FC0B" w14:textId="379B7462" w:rsidR="00746780" w:rsidRDefault="00746780" w:rsidP="00746780">
      <w:pPr>
        <w:spacing w:after="240"/>
        <w:ind w:right="327"/>
      </w:pPr>
      <w:r>
        <w:t>IV. FON PORTFÖYÜNÜN SAKLANMASI VE FON MALVARLIĞININ AYRILIĞI</w:t>
      </w:r>
      <w:r w:rsidR="007F1D92">
        <w:t>………………………………………………………………………......</w:t>
      </w:r>
      <w:r w:rsidR="00FF6157">
        <w:t>..............</w:t>
      </w:r>
      <w:r>
        <w:t>1</w:t>
      </w:r>
      <w:r w:rsidR="00F83F1E">
        <w:t>3</w:t>
      </w:r>
      <w:r>
        <w:t xml:space="preserve"> </w:t>
      </w:r>
    </w:p>
    <w:p w14:paraId="2EF627BF" w14:textId="1AF0A452" w:rsidR="00746780" w:rsidRDefault="00746780" w:rsidP="00746780">
      <w:pPr>
        <w:spacing w:after="240"/>
        <w:ind w:right="327"/>
      </w:pPr>
      <w:r>
        <w:t xml:space="preserve">V. FON BİRİM PAY DEĞERİNİN, FON TOPLAM DEĞERİNİN VE FON PORTFÖY DEĞERİNİN BELİRLENME ESASLARI </w:t>
      </w:r>
      <w:r w:rsidR="007F1D92">
        <w:t>…………………………………………</w:t>
      </w:r>
      <w:r w:rsidR="00FF6157">
        <w:t>……….</w:t>
      </w:r>
      <w:r>
        <w:t>1</w:t>
      </w:r>
      <w:r w:rsidR="00AC1993">
        <w:t>5</w:t>
      </w:r>
      <w:r>
        <w:t xml:space="preserve"> </w:t>
      </w:r>
    </w:p>
    <w:p w14:paraId="345FA247" w14:textId="01FF6C25" w:rsidR="00746780" w:rsidRDefault="00746780" w:rsidP="00746780">
      <w:pPr>
        <w:spacing w:after="240"/>
        <w:ind w:right="327"/>
      </w:pPr>
      <w:r>
        <w:t xml:space="preserve">VI. KATILMA PAYLARININ ALIM SATIM ESASLARI </w:t>
      </w:r>
      <w:r w:rsidR="007F1D92">
        <w:t>………………………</w:t>
      </w:r>
      <w:r w:rsidR="00FF6157">
        <w:t>…………</w:t>
      </w:r>
      <w:r w:rsidR="003A56DE">
        <w:t xml:space="preserve">19 </w:t>
      </w:r>
    </w:p>
    <w:p w14:paraId="53E15A1B" w14:textId="2DDCA380" w:rsidR="00746780" w:rsidRDefault="00746780" w:rsidP="00746780">
      <w:pPr>
        <w:spacing w:after="240"/>
        <w:ind w:right="327"/>
      </w:pPr>
      <w:r>
        <w:t xml:space="preserve">VII. FON MALVARLIĞINDAN KARŞILANACAK HARCAMALAR VE KURUCU’NUN KARŞILADIĞI GİDERLER </w:t>
      </w:r>
      <w:r w:rsidR="007F1D92">
        <w:t>………………………………………………………</w:t>
      </w:r>
      <w:r w:rsidR="00FF6157">
        <w:t>………...</w:t>
      </w:r>
      <w:r>
        <w:t>2</w:t>
      </w:r>
      <w:r w:rsidR="00B34EEF">
        <w:t>1</w:t>
      </w:r>
      <w:r>
        <w:t xml:space="preserve"> </w:t>
      </w:r>
    </w:p>
    <w:p w14:paraId="074A8F42" w14:textId="35F95266" w:rsidR="00746780" w:rsidRDefault="00746780" w:rsidP="00746780">
      <w:pPr>
        <w:spacing w:after="240"/>
        <w:ind w:right="327"/>
      </w:pPr>
      <w:r>
        <w:t xml:space="preserve">VIII. FONUN VERGİLENDİRİLMESİ </w:t>
      </w:r>
      <w:r w:rsidR="007F1D92">
        <w:t>……………………………………………</w:t>
      </w:r>
      <w:r w:rsidR="00FF6157">
        <w:t>………..</w:t>
      </w:r>
      <w:r>
        <w:t>2</w:t>
      </w:r>
      <w:r w:rsidR="00B34EEF">
        <w:t>3</w:t>
      </w:r>
      <w:r>
        <w:t xml:space="preserve"> </w:t>
      </w:r>
    </w:p>
    <w:p w14:paraId="52669B76" w14:textId="3D9A2E96" w:rsidR="00746780" w:rsidRDefault="00746780" w:rsidP="00746780">
      <w:pPr>
        <w:spacing w:after="240"/>
        <w:ind w:right="327"/>
      </w:pPr>
      <w:r>
        <w:t>IX. FİNANSAL RAPORLAMA ESASLARI VE FONLA İLGİLİ BİLGİLERE VE FON PORTFÖYÜNDE YER ALAN VARLIKLARA İLİŞKİN AÇIKLAMALAR</w:t>
      </w:r>
      <w:r w:rsidR="007F1D92">
        <w:t>……</w:t>
      </w:r>
      <w:r w:rsidR="00FF6157">
        <w:t>…………</w:t>
      </w:r>
      <w:r>
        <w:t>2</w:t>
      </w:r>
      <w:r w:rsidR="00B34EEF">
        <w:t>4</w:t>
      </w:r>
      <w:r>
        <w:t xml:space="preserve"> </w:t>
      </w:r>
    </w:p>
    <w:p w14:paraId="4566D875" w14:textId="37462941" w:rsidR="00746780" w:rsidRDefault="00746780" w:rsidP="00746780">
      <w:pPr>
        <w:spacing w:after="240"/>
        <w:ind w:right="327"/>
      </w:pPr>
      <w:r>
        <w:t>X. FON'UN SONA ERMESİ VE FON VARLIĞININ TASFİYESİ</w:t>
      </w:r>
      <w:r w:rsidR="007F1D92">
        <w:t>………………</w:t>
      </w:r>
      <w:r w:rsidR="00FF6157">
        <w:t>…………</w:t>
      </w:r>
      <w:r>
        <w:t>2</w:t>
      </w:r>
      <w:r w:rsidR="00B34EEF">
        <w:t>5</w:t>
      </w:r>
      <w:r>
        <w:t xml:space="preserve"> </w:t>
      </w:r>
    </w:p>
    <w:p w14:paraId="158ACB23" w14:textId="13410089" w:rsidR="00746780" w:rsidRDefault="00746780" w:rsidP="00746780">
      <w:pPr>
        <w:spacing w:after="240"/>
        <w:ind w:right="327"/>
      </w:pPr>
      <w:r>
        <w:t>XI. KATILMA PAYI SAHİPLERİNİN HAKLARI</w:t>
      </w:r>
      <w:r w:rsidR="007F1D92">
        <w:t>………………………………</w:t>
      </w:r>
      <w:r w:rsidR="00FF6157">
        <w:t>………….</w:t>
      </w:r>
      <w:r>
        <w:t>2</w:t>
      </w:r>
      <w:r w:rsidR="00B34EEF">
        <w:t>6</w:t>
      </w:r>
      <w:r>
        <w:t xml:space="preserve"> </w:t>
      </w:r>
    </w:p>
    <w:p w14:paraId="089FADE6" w14:textId="00E80692" w:rsidR="00746780" w:rsidRDefault="00746780" w:rsidP="00C810A6">
      <w:pPr>
        <w:spacing w:after="240"/>
        <w:ind w:right="327"/>
      </w:pPr>
      <w:r>
        <w:t xml:space="preserve">XII. FON PORTFÖYÜNÜN OLUŞTURULMASI VE KATILMA PAYLARININ SATIŞI </w:t>
      </w:r>
      <w:r w:rsidR="007F1D92">
        <w:t>………………………………………………………………………………………</w:t>
      </w:r>
      <w:r w:rsidR="00FF6157">
        <w:t>………..</w:t>
      </w:r>
      <w:bookmarkEnd w:id="2"/>
      <w:r w:rsidR="003A56DE">
        <w:t>2</w:t>
      </w:r>
      <w:r w:rsidR="00B34EEF">
        <w:t>7</w:t>
      </w:r>
    </w:p>
    <w:p w14:paraId="70DEFC29" w14:textId="77777777" w:rsidR="006F7ABD" w:rsidRDefault="006F7ABD" w:rsidP="00C810A6">
      <w:pPr>
        <w:spacing w:after="240"/>
        <w:ind w:right="327"/>
      </w:pPr>
    </w:p>
    <w:p w14:paraId="357CA629" w14:textId="77777777" w:rsidR="006F7ABD" w:rsidRDefault="006F7ABD" w:rsidP="00C810A6">
      <w:pPr>
        <w:spacing w:after="240"/>
        <w:ind w:right="327"/>
      </w:pPr>
    </w:p>
    <w:p w14:paraId="09FF30B7" w14:textId="77777777" w:rsidR="006F7ABD" w:rsidRDefault="006F7ABD" w:rsidP="00C810A6">
      <w:pPr>
        <w:spacing w:after="240"/>
        <w:ind w:right="327"/>
      </w:pPr>
    </w:p>
    <w:p w14:paraId="1DFC8A57" w14:textId="77777777" w:rsidR="006F7ABD" w:rsidRDefault="006F7ABD" w:rsidP="00C810A6">
      <w:pPr>
        <w:spacing w:after="240"/>
        <w:ind w:right="327"/>
      </w:pPr>
    </w:p>
    <w:p w14:paraId="7C53E55F" w14:textId="77777777" w:rsidR="006F7ABD" w:rsidRDefault="006F7ABD" w:rsidP="00C810A6">
      <w:pPr>
        <w:spacing w:after="240"/>
        <w:ind w:right="327"/>
      </w:pPr>
    </w:p>
    <w:p w14:paraId="39936F70" w14:textId="77777777" w:rsidR="006F7ABD" w:rsidRDefault="006F7ABD" w:rsidP="00C810A6">
      <w:pPr>
        <w:spacing w:after="240"/>
        <w:ind w:right="327"/>
      </w:pPr>
    </w:p>
    <w:p w14:paraId="6826F453" w14:textId="77777777" w:rsidR="006F7ABD" w:rsidRDefault="006F7ABD" w:rsidP="00C810A6">
      <w:pPr>
        <w:spacing w:after="240"/>
        <w:ind w:right="327"/>
      </w:pPr>
    </w:p>
    <w:p w14:paraId="39780FC9" w14:textId="77777777" w:rsidR="006F7ABD" w:rsidRPr="00C810A6" w:rsidRDefault="006F7ABD" w:rsidP="00C810A6">
      <w:pPr>
        <w:spacing w:after="240"/>
        <w:ind w:right="327"/>
      </w:pPr>
    </w:p>
    <w:p w14:paraId="4E02609E" w14:textId="77777777" w:rsidR="00746780" w:rsidRPr="00EC42EC" w:rsidRDefault="00746780" w:rsidP="00746780">
      <w:pPr>
        <w:spacing w:before="120"/>
        <w:jc w:val="center"/>
        <w:rPr>
          <w:b/>
        </w:rPr>
      </w:pPr>
      <w:r w:rsidRPr="00EC42EC">
        <w:rPr>
          <w:b/>
        </w:rPr>
        <w:lastRenderedPageBreak/>
        <w:t>KISALTMALAR</w:t>
      </w:r>
    </w:p>
    <w:p w14:paraId="4C417BFE" w14:textId="77777777" w:rsidR="00746780" w:rsidRPr="00EC42EC" w:rsidRDefault="00746780" w:rsidP="00746780">
      <w:pPr>
        <w:spacing w:before="120"/>
      </w:pPr>
    </w:p>
    <w:tbl>
      <w:tblPr>
        <w:tblStyle w:val="TabloKlavuzu"/>
        <w:tblW w:w="0" w:type="auto"/>
        <w:tblLook w:val="04A0" w:firstRow="1" w:lastRow="0" w:firstColumn="1" w:lastColumn="0" w:noHBand="0" w:noVBand="1"/>
      </w:tblPr>
      <w:tblGrid>
        <w:gridCol w:w="3065"/>
        <w:gridCol w:w="6285"/>
      </w:tblGrid>
      <w:tr w:rsidR="00746780" w:rsidRPr="00EC42EC" w14:paraId="70F5AFF5" w14:textId="77777777" w:rsidTr="00383462">
        <w:tc>
          <w:tcPr>
            <w:tcW w:w="3114" w:type="dxa"/>
          </w:tcPr>
          <w:p w14:paraId="073E9D03" w14:textId="77777777" w:rsidR="00746780" w:rsidRPr="00EC42EC" w:rsidRDefault="00746780" w:rsidP="00383462">
            <w:r w:rsidRPr="00EC42EC">
              <w:t>Bilgilendirme D</w:t>
            </w:r>
            <w:r w:rsidR="00E97834">
              <w:t>o</w:t>
            </w:r>
            <w:r w:rsidRPr="00EC42EC">
              <w:t>kümanları</w:t>
            </w:r>
          </w:p>
        </w:tc>
        <w:tc>
          <w:tcPr>
            <w:tcW w:w="6417" w:type="dxa"/>
          </w:tcPr>
          <w:p w14:paraId="081A387C" w14:textId="77777777" w:rsidR="00746780" w:rsidRPr="00EC42EC" w:rsidRDefault="00746780" w:rsidP="00383462">
            <w:r w:rsidRPr="00EC42EC">
              <w:t xml:space="preserve">Şemsiye fon içtüzüğü, fon izahnamesi </w:t>
            </w:r>
            <w:r>
              <w:t>ve yatırımcı bilgi formu</w:t>
            </w:r>
          </w:p>
        </w:tc>
      </w:tr>
      <w:tr w:rsidR="00746780" w:rsidRPr="00EC42EC" w14:paraId="2E3C97FD" w14:textId="77777777" w:rsidTr="00383462">
        <w:tc>
          <w:tcPr>
            <w:tcW w:w="3114" w:type="dxa"/>
          </w:tcPr>
          <w:p w14:paraId="1C6C2BB7" w14:textId="77777777" w:rsidR="00746780" w:rsidRPr="00EC42EC" w:rsidRDefault="00746780" w:rsidP="00383462">
            <w:r w:rsidRPr="00EC42EC">
              <w:t>BIST</w:t>
            </w:r>
          </w:p>
        </w:tc>
        <w:tc>
          <w:tcPr>
            <w:tcW w:w="6417" w:type="dxa"/>
          </w:tcPr>
          <w:p w14:paraId="7CD5B98F" w14:textId="77777777" w:rsidR="00746780" w:rsidRPr="00EC42EC" w:rsidRDefault="00746780" w:rsidP="00383462">
            <w:r w:rsidRPr="00EC42EC">
              <w:t>Borsa İstanbul A.Ş.</w:t>
            </w:r>
          </w:p>
        </w:tc>
      </w:tr>
      <w:tr w:rsidR="00746780" w:rsidRPr="00EC42EC" w14:paraId="5B1A08EE" w14:textId="77777777" w:rsidTr="00383462">
        <w:tc>
          <w:tcPr>
            <w:tcW w:w="3114" w:type="dxa"/>
          </w:tcPr>
          <w:p w14:paraId="659F9442" w14:textId="77777777" w:rsidR="00746780" w:rsidRPr="00EC42EC" w:rsidRDefault="00746780" w:rsidP="00383462">
            <w:r w:rsidRPr="00EC42EC">
              <w:t>Finansal Raporlama Tebliği</w:t>
            </w:r>
          </w:p>
        </w:tc>
        <w:tc>
          <w:tcPr>
            <w:tcW w:w="6417" w:type="dxa"/>
          </w:tcPr>
          <w:p w14:paraId="36078F87" w14:textId="77777777" w:rsidR="00746780" w:rsidRPr="00EC42EC" w:rsidRDefault="00746780" w:rsidP="00383462">
            <w:r w:rsidRPr="00EC42EC">
              <w:t>II-14.2 sayılı Yatırım Fonlarının Finansal Raporlama Esaslarına İlişkin Tebliğ</w:t>
            </w:r>
          </w:p>
        </w:tc>
      </w:tr>
      <w:tr w:rsidR="00746780" w:rsidRPr="00EC42EC" w14:paraId="394A55DB" w14:textId="77777777" w:rsidTr="00383462">
        <w:tc>
          <w:tcPr>
            <w:tcW w:w="3114" w:type="dxa"/>
          </w:tcPr>
          <w:p w14:paraId="10D578F7" w14:textId="77777777" w:rsidR="00746780" w:rsidRPr="00EC42EC" w:rsidRDefault="00746780" w:rsidP="00383462">
            <w:r w:rsidRPr="00EC42EC">
              <w:t>Fon</w:t>
            </w:r>
          </w:p>
        </w:tc>
        <w:tc>
          <w:tcPr>
            <w:tcW w:w="6417" w:type="dxa"/>
          </w:tcPr>
          <w:p w14:paraId="688E61C9" w14:textId="24D93111" w:rsidR="00746780" w:rsidRPr="00EC42EC" w:rsidRDefault="00746780" w:rsidP="00383462">
            <w:pPr>
              <w:rPr>
                <w:vertAlign w:val="superscript"/>
              </w:rPr>
            </w:pPr>
            <w:r>
              <w:t>Rota Portföy</w:t>
            </w:r>
            <w:r w:rsidR="006E7C9D">
              <w:t xml:space="preserve"> </w:t>
            </w:r>
            <w:r w:rsidR="006601B7">
              <w:t>Hisse Senedi</w:t>
            </w:r>
            <w:r w:rsidR="00D81A52">
              <w:t xml:space="preserve"> </w:t>
            </w:r>
            <w:r>
              <w:t>Serbest (TL)</w:t>
            </w:r>
            <w:r w:rsidRPr="00EC42EC">
              <w:t xml:space="preserve"> Fon</w:t>
            </w:r>
            <w:r w:rsidR="00DB3DAB">
              <w:t xml:space="preserve"> (Hisse Senedi Yoğun Fon)</w:t>
            </w:r>
          </w:p>
        </w:tc>
      </w:tr>
      <w:tr w:rsidR="00746780" w:rsidRPr="00EC42EC" w14:paraId="2351EF7B" w14:textId="77777777" w:rsidTr="00383462">
        <w:tc>
          <w:tcPr>
            <w:tcW w:w="3114" w:type="dxa"/>
          </w:tcPr>
          <w:p w14:paraId="73CC735E" w14:textId="77777777" w:rsidR="00746780" w:rsidRPr="00EC42EC" w:rsidRDefault="00746780" w:rsidP="00383462">
            <w:r w:rsidRPr="00EC42EC">
              <w:t>Şemsiye Fon</w:t>
            </w:r>
          </w:p>
        </w:tc>
        <w:tc>
          <w:tcPr>
            <w:tcW w:w="6417" w:type="dxa"/>
          </w:tcPr>
          <w:p w14:paraId="0572E1ED" w14:textId="77777777" w:rsidR="00746780" w:rsidRPr="00EC42EC" w:rsidRDefault="00746780" w:rsidP="00383462">
            <w:r>
              <w:t>Rota Portföy Yönetimi A.Ş. Serbest</w:t>
            </w:r>
            <w:r w:rsidRPr="00EC42EC">
              <w:t xml:space="preserve"> Şemsiye Fon</w:t>
            </w:r>
          </w:p>
        </w:tc>
      </w:tr>
      <w:tr w:rsidR="00746780" w:rsidRPr="00EC42EC" w14:paraId="26BD8CAF" w14:textId="77777777" w:rsidTr="00383462">
        <w:tc>
          <w:tcPr>
            <w:tcW w:w="3114" w:type="dxa"/>
          </w:tcPr>
          <w:p w14:paraId="195D05DF" w14:textId="77777777" w:rsidR="00746780" w:rsidRPr="00EC42EC" w:rsidRDefault="00746780" w:rsidP="00383462">
            <w:r w:rsidRPr="00EC42EC">
              <w:t>Kanun</w:t>
            </w:r>
          </w:p>
        </w:tc>
        <w:tc>
          <w:tcPr>
            <w:tcW w:w="6417" w:type="dxa"/>
          </w:tcPr>
          <w:p w14:paraId="20B6FABB" w14:textId="77777777" w:rsidR="00746780" w:rsidRPr="00EC42EC" w:rsidRDefault="00746780" w:rsidP="00383462">
            <w:r w:rsidRPr="00EC42EC">
              <w:t>6362 sayılı Sermaye Piyasası Kanunu</w:t>
            </w:r>
          </w:p>
        </w:tc>
      </w:tr>
      <w:tr w:rsidR="00746780" w:rsidRPr="00EC42EC" w14:paraId="38675019" w14:textId="77777777" w:rsidTr="00383462">
        <w:tc>
          <w:tcPr>
            <w:tcW w:w="3114" w:type="dxa"/>
          </w:tcPr>
          <w:p w14:paraId="50CAEA9E" w14:textId="77777777" w:rsidR="00746780" w:rsidRPr="00EC42EC" w:rsidRDefault="00746780" w:rsidP="00383462">
            <w:r w:rsidRPr="00EC42EC">
              <w:t>KAP</w:t>
            </w:r>
          </w:p>
        </w:tc>
        <w:tc>
          <w:tcPr>
            <w:tcW w:w="6417" w:type="dxa"/>
          </w:tcPr>
          <w:p w14:paraId="13978F76" w14:textId="77777777" w:rsidR="00746780" w:rsidRPr="00EC42EC" w:rsidRDefault="00746780" w:rsidP="00383462">
            <w:r w:rsidRPr="00EC42EC">
              <w:t>Kamuyu Aydınlatma Platformu</w:t>
            </w:r>
          </w:p>
        </w:tc>
      </w:tr>
      <w:tr w:rsidR="00746780" w:rsidRPr="00EC42EC" w14:paraId="3B88B833" w14:textId="77777777" w:rsidTr="00383462">
        <w:tc>
          <w:tcPr>
            <w:tcW w:w="3114" w:type="dxa"/>
          </w:tcPr>
          <w:p w14:paraId="6E78ABB1" w14:textId="77777777" w:rsidR="00746780" w:rsidRPr="00EC42EC" w:rsidRDefault="00746780" w:rsidP="00383462">
            <w:r w:rsidRPr="00EC42EC">
              <w:t>Kurucu</w:t>
            </w:r>
          </w:p>
        </w:tc>
        <w:tc>
          <w:tcPr>
            <w:tcW w:w="6417" w:type="dxa"/>
          </w:tcPr>
          <w:p w14:paraId="265F92A0" w14:textId="77777777" w:rsidR="00746780" w:rsidRPr="00EC42EC" w:rsidRDefault="00746780" w:rsidP="00383462">
            <w:r>
              <w:t xml:space="preserve">Rota </w:t>
            </w:r>
            <w:r w:rsidRPr="00EC42EC">
              <w:t>Portföy Yönetimi A.Ş.</w:t>
            </w:r>
          </w:p>
        </w:tc>
      </w:tr>
      <w:tr w:rsidR="00746780" w:rsidRPr="00EC42EC" w14:paraId="7599A33A" w14:textId="77777777" w:rsidTr="00383462">
        <w:tc>
          <w:tcPr>
            <w:tcW w:w="3114" w:type="dxa"/>
          </w:tcPr>
          <w:p w14:paraId="070F5F96" w14:textId="77777777" w:rsidR="00746780" w:rsidRPr="00EC42EC" w:rsidRDefault="00746780" w:rsidP="00383462">
            <w:r w:rsidRPr="00EC42EC">
              <w:t>Kurul</w:t>
            </w:r>
          </w:p>
        </w:tc>
        <w:tc>
          <w:tcPr>
            <w:tcW w:w="6417" w:type="dxa"/>
          </w:tcPr>
          <w:p w14:paraId="73D2B5E9" w14:textId="77777777" w:rsidR="00746780" w:rsidRPr="00EC42EC" w:rsidRDefault="00746780" w:rsidP="00383462">
            <w:r w:rsidRPr="00EC42EC">
              <w:t>Sermaye Piyasası Kurulu</w:t>
            </w:r>
          </w:p>
        </w:tc>
      </w:tr>
      <w:tr w:rsidR="00746780" w:rsidRPr="00EC42EC" w14:paraId="0504F765" w14:textId="77777777" w:rsidTr="00383462">
        <w:tc>
          <w:tcPr>
            <w:tcW w:w="3114" w:type="dxa"/>
          </w:tcPr>
          <w:p w14:paraId="2217E461" w14:textId="77777777" w:rsidR="00746780" w:rsidRPr="00EC42EC" w:rsidRDefault="00746780" w:rsidP="00383462">
            <w:r w:rsidRPr="00EC42EC">
              <w:t>MKK</w:t>
            </w:r>
          </w:p>
        </w:tc>
        <w:tc>
          <w:tcPr>
            <w:tcW w:w="6417" w:type="dxa"/>
          </w:tcPr>
          <w:p w14:paraId="09A11DE8" w14:textId="77777777" w:rsidR="00746780" w:rsidRPr="00EC42EC" w:rsidRDefault="00746780" w:rsidP="00383462">
            <w:r w:rsidRPr="00EC42EC">
              <w:t>Merkezi Kayıt Kuruluşu A.Ş.</w:t>
            </w:r>
          </w:p>
        </w:tc>
      </w:tr>
      <w:tr w:rsidR="00746780" w:rsidRPr="00EC42EC" w14:paraId="7380A60A" w14:textId="77777777" w:rsidTr="00383462">
        <w:tc>
          <w:tcPr>
            <w:tcW w:w="3114" w:type="dxa"/>
          </w:tcPr>
          <w:p w14:paraId="2A939451" w14:textId="77777777" w:rsidR="00746780" w:rsidRPr="00EC42EC" w:rsidRDefault="00746780" w:rsidP="00383462">
            <w:r w:rsidRPr="00EC42EC">
              <w:t>Portföy Saklayıcısı</w:t>
            </w:r>
          </w:p>
        </w:tc>
        <w:tc>
          <w:tcPr>
            <w:tcW w:w="6417" w:type="dxa"/>
          </w:tcPr>
          <w:p w14:paraId="7AADAADC" w14:textId="77777777" w:rsidR="00746780" w:rsidRPr="00EC42EC" w:rsidRDefault="00746780" w:rsidP="00383462">
            <w:r>
              <w:t>Türkiye İş Bankası</w:t>
            </w:r>
            <w:r w:rsidRPr="00EC42EC">
              <w:t xml:space="preserve"> A.Ş.</w:t>
            </w:r>
          </w:p>
        </w:tc>
      </w:tr>
      <w:tr w:rsidR="00746780" w:rsidRPr="00EC42EC" w14:paraId="0BDF31A6" w14:textId="77777777" w:rsidTr="00383462">
        <w:tc>
          <w:tcPr>
            <w:tcW w:w="3114" w:type="dxa"/>
          </w:tcPr>
          <w:p w14:paraId="296ED208" w14:textId="77777777" w:rsidR="00746780" w:rsidRPr="00EC42EC" w:rsidRDefault="00746780" w:rsidP="00383462">
            <w:r w:rsidRPr="00EC42EC">
              <w:t>PYŞ Tebliği</w:t>
            </w:r>
          </w:p>
        </w:tc>
        <w:tc>
          <w:tcPr>
            <w:tcW w:w="6417" w:type="dxa"/>
          </w:tcPr>
          <w:p w14:paraId="1B7C5540" w14:textId="77777777" w:rsidR="00746780" w:rsidRPr="00EC42EC" w:rsidRDefault="00746780" w:rsidP="00383462">
            <w:r w:rsidRPr="00EC42EC">
              <w:t>III-55.1 sayılı Portföy Yönetim Şirketleri ve Bu Şirketlerin Faaliyetlerine İlişkin Esaslar Tebliği</w:t>
            </w:r>
          </w:p>
        </w:tc>
      </w:tr>
      <w:tr w:rsidR="00746780" w:rsidRPr="00EC42EC" w14:paraId="328D2641" w14:textId="77777777" w:rsidTr="00383462">
        <w:tc>
          <w:tcPr>
            <w:tcW w:w="3114" w:type="dxa"/>
          </w:tcPr>
          <w:p w14:paraId="0C806607" w14:textId="77777777" w:rsidR="00746780" w:rsidRPr="00EC42EC" w:rsidRDefault="00746780" w:rsidP="00383462">
            <w:r>
              <w:t>Rehber</w:t>
            </w:r>
          </w:p>
        </w:tc>
        <w:tc>
          <w:tcPr>
            <w:tcW w:w="6417" w:type="dxa"/>
          </w:tcPr>
          <w:p w14:paraId="34D6E147" w14:textId="77777777" w:rsidR="00746780" w:rsidRPr="00EC42EC" w:rsidRDefault="00746780" w:rsidP="00383462">
            <w:r>
              <w:t>Yatırım Fonlarına İlişkin Rehber</w:t>
            </w:r>
          </w:p>
        </w:tc>
      </w:tr>
      <w:tr w:rsidR="00746780" w:rsidRPr="00EC42EC" w14:paraId="132EB9B1" w14:textId="77777777" w:rsidTr="00383462">
        <w:tc>
          <w:tcPr>
            <w:tcW w:w="3114" w:type="dxa"/>
          </w:tcPr>
          <w:p w14:paraId="6C014DB3" w14:textId="77777777" w:rsidR="00746780" w:rsidRPr="00EC42EC" w:rsidRDefault="00746780" w:rsidP="00383462">
            <w:r w:rsidRPr="00EC42EC">
              <w:t>Saklama Tebliği</w:t>
            </w:r>
          </w:p>
        </w:tc>
        <w:tc>
          <w:tcPr>
            <w:tcW w:w="6417" w:type="dxa"/>
          </w:tcPr>
          <w:p w14:paraId="090EADD0" w14:textId="77777777" w:rsidR="00746780" w:rsidRPr="00EC42EC" w:rsidRDefault="00746780" w:rsidP="00383462">
            <w:r w:rsidRPr="00EC42EC">
              <w:t>III-56.1 sayılı Portföy Saklama Hizmetine ve Bu Hizmette Bulunacak Kuruluşlara İlişkin Esaslar Tebliği</w:t>
            </w:r>
          </w:p>
        </w:tc>
      </w:tr>
      <w:tr w:rsidR="00746780" w:rsidRPr="00EC42EC" w14:paraId="26AB8843" w14:textId="77777777" w:rsidTr="00383462">
        <w:tc>
          <w:tcPr>
            <w:tcW w:w="3114" w:type="dxa"/>
          </w:tcPr>
          <w:p w14:paraId="02966677" w14:textId="77777777" w:rsidR="00746780" w:rsidRPr="00EC42EC" w:rsidRDefault="00746780" w:rsidP="00383462">
            <w:r w:rsidRPr="00EC42EC">
              <w:t>Takasbank</w:t>
            </w:r>
          </w:p>
        </w:tc>
        <w:tc>
          <w:tcPr>
            <w:tcW w:w="6417" w:type="dxa"/>
          </w:tcPr>
          <w:p w14:paraId="5EE58852" w14:textId="77777777" w:rsidR="00746780" w:rsidRPr="00EC42EC" w:rsidRDefault="00746780" w:rsidP="00383462">
            <w:r w:rsidRPr="00EC42EC">
              <w:t>İstanbul Takas ve Saklama Bankası A.Ş.</w:t>
            </w:r>
          </w:p>
        </w:tc>
      </w:tr>
      <w:tr w:rsidR="00746780" w:rsidRPr="00EC42EC" w14:paraId="6856A10D" w14:textId="77777777" w:rsidTr="00383462">
        <w:tc>
          <w:tcPr>
            <w:tcW w:w="3114" w:type="dxa"/>
          </w:tcPr>
          <w:p w14:paraId="1D972DFC" w14:textId="77777777" w:rsidR="00746780" w:rsidRPr="00EC42EC" w:rsidRDefault="00746780" w:rsidP="00383462">
            <w:r w:rsidRPr="00EC42EC">
              <w:t>Tebliğ</w:t>
            </w:r>
          </w:p>
        </w:tc>
        <w:tc>
          <w:tcPr>
            <w:tcW w:w="6417" w:type="dxa"/>
          </w:tcPr>
          <w:p w14:paraId="4BCBE680" w14:textId="77777777" w:rsidR="00746780" w:rsidRPr="00EC42EC" w:rsidRDefault="00746780" w:rsidP="00383462">
            <w:r w:rsidRPr="00EC42EC">
              <w:t>III-52.1 sayılı Yatırım Fonlarına İlişkin Esaslar Tebliği</w:t>
            </w:r>
          </w:p>
        </w:tc>
      </w:tr>
      <w:tr w:rsidR="00746780" w:rsidRPr="00EC42EC" w14:paraId="5AA7F04B" w14:textId="77777777" w:rsidTr="00383462">
        <w:tc>
          <w:tcPr>
            <w:tcW w:w="3114" w:type="dxa"/>
          </w:tcPr>
          <w:p w14:paraId="5E6D66C8" w14:textId="77777777" w:rsidR="00746780" w:rsidRPr="00EC42EC" w:rsidRDefault="00746780" w:rsidP="00383462">
            <w:r>
              <w:t>TEFAS</w:t>
            </w:r>
          </w:p>
        </w:tc>
        <w:tc>
          <w:tcPr>
            <w:tcW w:w="6417" w:type="dxa"/>
          </w:tcPr>
          <w:p w14:paraId="260CF88D" w14:textId="77777777" w:rsidR="00746780" w:rsidRPr="00EC42EC" w:rsidRDefault="00746780" w:rsidP="00383462">
            <w:r w:rsidRPr="00EC42EC">
              <w:t xml:space="preserve">Türkiye Elektronik Fon </w:t>
            </w:r>
            <w:r>
              <w:t xml:space="preserve">Alım Satım </w:t>
            </w:r>
            <w:r w:rsidRPr="00EC42EC">
              <w:t>Platformu</w:t>
            </w:r>
          </w:p>
        </w:tc>
      </w:tr>
      <w:tr w:rsidR="00746780" w:rsidRPr="00EC42EC" w14:paraId="6638BCE7" w14:textId="77777777" w:rsidTr="00383462">
        <w:tc>
          <w:tcPr>
            <w:tcW w:w="3114" w:type="dxa"/>
          </w:tcPr>
          <w:p w14:paraId="77BA5A7D" w14:textId="77777777" w:rsidR="00746780" w:rsidRPr="00EC42EC" w:rsidRDefault="00746780" w:rsidP="00383462">
            <w:r w:rsidRPr="00EC42EC">
              <w:t>TMS/TFRS</w:t>
            </w:r>
          </w:p>
        </w:tc>
        <w:tc>
          <w:tcPr>
            <w:tcW w:w="6417" w:type="dxa"/>
          </w:tcPr>
          <w:p w14:paraId="432E672B" w14:textId="77777777" w:rsidR="00746780" w:rsidRPr="00EC42EC" w:rsidRDefault="00746780" w:rsidP="00383462">
            <w:r w:rsidRPr="00EC42EC">
              <w:t>Kamu Gözetimi, Muhasebe ve Denetim Standartları Kurumu tarafından yürürlüğe konulmuş olan Türkiye Muhasebe Standartları/Türkiye Finansal Raporlama Standartları ile bunlara ilişkin ek ve yorumlar</w:t>
            </w:r>
          </w:p>
        </w:tc>
      </w:tr>
      <w:tr w:rsidR="00746780" w:rsidRPr="00EC42EC" w14:paraId="2AB9ED58" w14:textId="77777777" w:rsidTr="00383462">
        <w:tc>
          <w:tcPr>
            <w:tcW w:w="3114" w:type="dxa"/>
          </w:tcPr>
          <w:p w14:paraId="29B3D36B" w14:textId="77777777" w:rsidR="00746780" w:rsidRPr="00EC42EC" w:rsidRDefault="00746780" w:rsidP="00383462">
            <w:r w:rsidRPr="00EC42EC">
              <w:t>Yönetici</w:t>
            </w:r>
          </w:p>
        </w:tc>
        <w:tc>
          <w:tcPr>
            <w:tcW w:w="6417" w:type="dxa"/>
          </w:tcPr>
          <w:p w14:paraId="72C2801E" w14:textId="77777777" w:rsidR="00746780" w:rsidRPr="00EC42EC" w:rsidRDefault="00746780" w:rsidP="00383462">
            <w:r>
              <w:t xml:space="preserve">Rota </w:t>
            </w:r>
            <w:r w:rsidRPr="00EC42EC">
              <w:t>Portföy Yönetimi A.Ş.</w:t>
            </w:r>
          </w:p>
        </w:tc>
      </w:tr>
    </w:tbl>
    <w:p w14:paraId="39D318EB" w14:textId="77777777" w:rsidR="00746780" w:rsidRDefault="00746780" w:rsidP="00746780">
      <w:pPr>
        <w:rPr>
          <w:b/>
          <w:bCs/>
          <w:iCs/>
        </w:rPr>
      </w:pPr>
    </w:p>
    <w:p w14:paraId="726FC1F0" w14:textId="77777777" w:rsidR="00746780" w:rsidRPr="00EC42EC" w:rsidRDefault="00746780" w:rsidP="00746780">
      <w:pPr>
        <w:rPr>
          <w:b/>
          <w:bCs/>
          <w:iCs/>
        </w:rPr>
      </w:pPr>
    </w:p>
    <w:p w14:paraId="44701AD5" w14:textId="77777777" w:rsidR="00746780" w:rsidRPr="00EC42EC" w:rsidRDefault="00746780" w:rsidP="00746780">
      <w:pPr>
        <w:pStyle w:val="Balk2"/>
        <w:numPr>
          <w:ilvl w:val="0"/>
          <w:numId w:val="19"/>
        </w:numPr>
        <w:tabs>
          <w:tab w:val="left" w:pos="993"/>
        </w:tabs>
        <w:ind w:left="0" w:firstLine="709"/>
        <w:rPr>
          <w:rFonts w:cs="Times New Roman"/>
          <w:sz w:val="24"/>
          <w:szCs w:val="24"/>
        </w:rPr>
      </w:pPr>
      <w:bookmarkStart w:id="3" w:name="_Toc94788078"/>
      <w:bookmarkStart w:id="4" w:name="_Toc94793564"/>
      <w:r w:rsidRPr="00EC42EC">
        <w:rPr>
          <w:rFonts w:cs="Times New Roman"/>
          <w:sz w:val="24"/>
          <w:szCs w:val="24"/>
        </w:rPr>
        <w:t>FON HAKKINDA GENEL BİLGİLER</w:t>
      </w:r>
      <w:bookmarkEnd w:id="3"/>
      <w:bookmarkEnd w:id="4"/>
      <w:r w:rsidRPr="00EC42EC">
        <w:rPr>
          <w:rFonts w:cs="Times New Roman"/>
          <w:sz w:val="24"/>
          <w:szCs w:val="24"/>
        </w:rPr>
        <w:t xml:space="preserve"> </w:t>
      </w:r>
    </w:p>
    <w:p w14:paraId="1BC246F5" w14:textId="77777777" w:rsidR="00746780" w:rsidRPr="00EC42EC" w:rsidRDefault="00746780" w:rsidP="00746780">
      <w:pPr>
        <w:pStyle w:val="ListeParagraf"/>
        <w:tabs>
          <w:tab w:val="left" w:pos="426"/>
        </w:tabs>
        <w:ind w:left="0" w:firstLine="709"/>
        <w:contextualSpacing/>
      </w:pPr>
    </w:p>
    <w:p w14:paraId="0728D5DC" w14:textId="77777777" w:rsidR="00746780" w:rsidRPr="00EC42EC" w:rsidRDefault="00746780" w:rsidP="00746780">
      <w:pPr>
        <w:pStyle w:val="ListeParagraf"/>
        <w:tabs>
          <w:tab w:val="left" w:pos="426"/>
        </w:tabs>
        <w:ind w:left="0" w:firstLine="709"/>
        <w:contextualSpacing/>
      </w:pPr>
      <w:r w:rsidRPr="00EC42EC">
        <w:t>Fon, Kanun hükümleri uyarınca tasarruf sahiplerinden fon katılma payı karşılığında toplanan nakitle, tasarruf sahipleri hesabına, inançlı mülkiyet esaslarına göre işbu izahnamenin  II.  bölümünde belirlenen varlık ve haklardan oluşan portföyü işletmek amacıyla kurulan, katılma payları Şemsiye Fon’a bağlı olarak ihraç edilen ve tüzel kişiliği bulunmayan mal varlığıdır.</w:t>
      </w:r>
    </w:p>
    <w:p w14:paraId="44A11CE2" w14:textId="77777777" w:rsidR="00746780" w:rsidRPr="00EC42EC" w:rsidRDefault="00746780" w:rsidP="00746780">
      <w:pPr>
        <w:pStyle w:val="ListeParagraf"/>
        <w:tabs>
          <w:tab w:val="left" w:pos="426"/>
        </w:tabs>
        <w:ind w:left="0" w:firstLine="709"/>
        <w:contextualSpacing/>
      </w:pPr>
    </w:p>
    <w:p w14:paraId="73DDDA46" w14:textId="77777777" w:rsidR="00746780" w:rsidRPr="00746780" w:rsidRDefault="00746780" w:rsidP="00746780">
      <w:pPr>
        <w:pStyle w:val="ListeParagraf"/>
        <w:tabs>
          <w:tab w:val="left" w:pos="426"/>
        </w:tabs>
        <w:ind w:left="0" w:firstLine="709"/>
        <w:contextualSpacing/>
        <w:rPr>
          <w:b/>
        </w:rPr>
      </w:pPr>
      <w:r w:rsidRPr="00EC42EC">
        <w:rPr>
          <w:b/>
        </w:rPr>
        <w:t>1.1. Fona İlişkin Genel Bilgiler</w:t>
      </w:r>
    </w:p>
    <w:p w14:paraId="210B96E8" w14:textId="77777777" w:rsidR="00746780" w:rsidRPr="00EC42EC" w:rsidRDefault="00746780" w:rsidP="00746780">
      <w:pPr>
        <w:pStyle w:val="ListeParagraf"/>
        <w:tabs>
          <w:tab w:val="left" w:pos="426"/>
        </w:tabs>
        <w:ind w:left="0" w:firstLine="709"/>
        <w:contextualSpacing/>
        <w:rPr>
          <w:b/>
        </w:rPr>
      </w:pPr>
    </w:p>
    <w:tbl>
      <w:tblPr>
        <w:tblStyle w:val="TabloKlavuzu"/>
        <w:tblW w:w="0" w:type="auto"/>
        <w:tblInd w:w="137" w:type="dxa"/>
        <w:tblLook w:val="04A0" w:firstRow="1" w:lastRow="0" w:firstColumn="1" w:lastColumn="0" w:noHBand="0" w:noVBand="1"/>
      </w:tblPr>
      <w:tblGrid>
        <w:gridCol w:w="3912"/>
        <w:gridCol w:w="5301"/>
      </w:tblGrid>
      <w:tr w:rsidR="00746780" w:rsidRPr="00EC42EC" w14:paraId="75C86D05" w14:textId="77777777" w:rsidTr="00383462">
        <w:trPr>
          <w:trHeight w:val="324"/>
        </w:trPr>
        <w:tc>
          <w:tcPr>
            <w:tcW w:w="9353" w:type="dxa"/>
            <w:gridSpan w:val="2"/>
          </w:tcPr>
          <w:p w14:paraId="54A91646" w14:textId="77777777" w:rsidR="00746780" w:rsidRPr="00EC42EC" w:rsidRDefault="00746780" w:rsidP="00383462">
            <w:pPr>
              <w:rPr>
                <w:b/>
                <w:i/>
              </w:rPr>
            </w:pPr>
            <w:r w:rsidRPr="00EC42EC">
              <w:rPr>
                <w:b/>
                <w:i/>
              </w:rPr>
              <w:t xml:space="preserve">Fon’un </w:t>
            </w:r>
          </w:p>
        </w:tc>
      </w:tr>
      <w:tr w:rsidR="00746780" w:rsidRPr="00EC42EC" w14:paraId="3F15FE19" w14:textId="77777777" w:rsidTr="00383462">
        <w:trPr>
          <w:trHeight w:val="252"/>
        </w:trPr>
        <w:tc>
          <w:tcPr>
            <w:tcW w:w="3969" w:type="dxa"/>
          </w:tcPr>
          <w:p w14:paraId="250B40BE" w14:textId="77777777" w:rsidR="00746780" w:rsidRPr="00EC42EC" w:rsidRDefault="00746780" w:rsidP="00383462">
            <w:r>
              <w:t>Unvanı:</w:t>
            </w:r>
          </w:p>
        </w:tc>
        <w:tc>
          <w:tcPr>
            <w:tcW w:w="5384" w:type="dxa"/>
          </w:tcPr>
          <w:p w14:paraId="3BBF9077" w14:textId="76F455BA" w:rsidR="00746780" w:rsidRPr="00B53ED2" w:rsidRDefault="00746780" w:rsidP="00383462">
            <w:pPr>
              <w:rPr>
                <w:b/>
                <w:bCs/>
              </w:rPr>
            </w:pPr>
            <w:r w:rsidRPr="00B53ED2">
              <w:rPr>
                <w:b/>
                <w:bCs/>
              </w:rPr>
              <w:t xml:space="preserve">Rota Portföy </w:t>
            </w:r>
            <w:r w:rsidR="006601B7">
              <w:rPr>
                <w:b/>
                <w:bCs/>
              </w:rPr>
              <w:t xml:space="preserve">Hisse Senedi </w:t>
            </w:r>
            <w:r w:rsidRPr="00B53ED2">
              <w:rPr>
                <w:b/>
                <w:bCs/>
              </w:rPr>
              <w:t>Serbest (</w:t>
            </w:r>
            <w:r>
              <w:rPr>
                <w:b/>
                <w:bCs/>
              </w:rPr>
              <w:t>TL</w:t>
            </w:r>
            <w:r w:rsidRPr="00B53ED2">
              <w:rPr>
                <w:b/>
                <w:bCs/>
              </w:rPr>
              <w:t>) Fon</w:t>
            </w:r>
            <w:r w:rsidR="00BC2C15">
              <w:rPr>
                <w:b/>
                <w:bCs/>
              </w:rPr>
              <w:t xml:space="preserve"> (Hisse Senedi Yoğun Fon)</w:t>
            </w:r>
          </w:p>
        </w:tc>
      </w:tr>
      <w:tr w:rsidR="00746780" w:rsidRPr="00EC42EC" w14:paraId="29D73451" w14:textId="77777777" w:rsidTr="00383462">
        <w:trPr>
          <w:trHeight w:val="252"/>
        </w:trPr>
        <w:tc>
          <w:tcPr>
            <w:tcW w:w="3969" w:type="dxa"/>
          </w:tcPr>
          <w:p w14:paraId="49C1C8E4" w14:textId="77777777" w:rsidR="00746780" w:rsidRPr="00EC42EC" w:rsidRDefault="00746780" w:rsidP="00383462">
            <w:r w:rsidRPr="00EC42EC">
              <w:t>Bağlı Olduğu Şemsiye Fonun Unvanı:</w:t>
            </w:r>
          </w:p>
        </w:tc>
        <w:tc>
          <w:tcPr>
            <w:tcW w:w="5384" w:type="dxa"/>
          </w:tcPr>
          <w:p w14:paraId="2A44BB6E" w14:textId="77777777" w:rsidR="00746780" w:rsidRPr="00B53ED2" w:rsidRDefault="00746780" w:rsidP="00383462">
            <w:pPr>
              <w:rPr>
                <w:b/>
                <w:bCs/>
              </w:rPr>
            </w:pPr>
            <w:r w:rsidRPr="00B53ED2">
              <w:rPr>
                <w:b/>
                <w:bCs/>
              </w:rPr>
              <w:t>Rota Portföy Yönetimi A.Ş. Serbest</w:t>
            </w:r>
            <w:r>
              <w:rPr>
                <w:b/>
                <w:bCs/>
              </w:rPr>
              <w:t xml:space="preserve"> </w:t>
            </w:r>
            <w:r w:rsidRPr="00B53ED2">
              <w:rPr>
                <w:b/>
                <w:bCs/>
              </w:rPr>
              <w:t>Şemsiye Fon</w:t>
            </w:r>
          </w:p>
        </w:tc>
      </w:tr>
      <w:tr w:rsidR="00746780" w:rsidRPr="00EC42EC" w14:paraId="5083CEFF" w14:textId="77777777" w:rsidTr="00383462">
        <w:trPr>
          <w:trHeight w:val="252"/>
        </w:trPr>
        <w:tc>
          <w:tcPr>
            <w:tcW w:w="3969" w:type="dxa"/>
          </w:tcPr>
          <w:p w14:paraId="3FFEDA99" w14:textId="77777777" w:rsidR="00746780" w:rsidRPr="00EC42EC" w:rsidRDefault="00746780" w:rsidP="00383462">
            <w:r w:rsidRPr="00EC42EC">
              <w:t>Bağlı Olduğu Şemsiye Fonun Türü:</w:t>
            </w:r>
          </w:p>
        </w:tc>
        <w:tc>
          <w:tcPr>
            <w:tcW w:w="5384" w:type="dxa"/>
          </w:tcPr>
          <w:p w14:paraId="2F14EAE3" w14:textId="77777777" w:rsidR="00746780" w:rsidRPr="00EC42EC" w:rsidRDefault="00746780" w:rsidP="00383462">
            <w:pPr>
              <w:rPr>
                <w:b/>
              </w:rPr>
            </w:pPr>
            <w:r w:rsidRPr="00B53ED2">
              <w:rPr>
                <w:b/>
                <w:bCs/>
              </w:rPr>
              <w:t>Serbest</w:t>
            </w:r>
            <w:r>
              <w:rPr>
                <w:b/>
                <w:bCs/>
              </w:rPr>
              <w:t xml:space="preserve"> </w:t>
            </w:r>
            <w:r w:rsidRPr="00B53ED2">
              <w:rPr>
                <w:b/>
                <w:bCs/>
              </w:rPr>
              <w:t>Şemsiye Fon</w:t>
            </w:r>
          </w:p>
        </w:tc>
      </w:tr>
      <w:tr w:rsidR="00746780" w:rsidRPr="00EC42EC" w14:paraId="7E6B2E6E" w14:textId="77777777" w:rsidTr="00383462">
        <w:trPr>
          <w:trHeight w:val="252"/>
        </w:trPr>
        <w:tc>
          <w:tcPr>
            <w:tcW w:w="3969" w:type="dxa"/>
          </w:tcPr>
          <w:p w14:paraId="6BA8DFE1" w14:textId="77777777" w:rsidR="00746780" w:rsidRPr="00EC42EC" w:rsidRDefault="00746780" w:rsidP="00383462">
            <w:r w:rsidRPr="00EC42EC">
              <w:t>Süresi:</w:t>
            </w:r>
          </w:p>
        </w:tc>
        <w:tc>
          <w:tcPr>
            <w:tcW w:w="5384" w:type="dxa"/>
          </w:tcPr>
          <w:p w14:paraId="48A1B35F" w14:textId="77777777" w:rsidR="00746780" w:rsidRPr="00EC42EC" w:rsidRDefault="00746780" w:rsidP="00383462">
            <w:pPr>
              <w:rPr>
                <w:b/>
              </w:rPr>
            </w:pPr>
            <w:r>
              <w:rPr>
                <w:b/>
              </w:rPr>
              <w:t>Süresiz</w:t>
            </w:r>
          </w:p>
        </w:tc>
      </w:tr>
    </w:tbl>
    <w:p w14:paraId="70E139E1" w14:textId="77777777" w:rsidR="00746780" w:rsidRPr="00EC42EC" w:rsidRDefault="00746780" w:rsidP="00311CF1">
      <w:pPr>
        <w:tabs>
          <w:tab w:val="left" w:pos="426"/>
        </w:tabs>
        <w:contextualSpacing/>
      </w:pPr>
    </w:p>
    <w:p w14:paraId="0B7659C3" w14:textId="77777777" w:rsidR="00256126" w:rsidRDefault="00256126" w:rsidP="00746780">
      <w:pPr>
        <w:ind w:firstLine="708"/>
        <w:rPr>
          <w:b/>
        </w:rPr>
      </w:pPr>
    </w:p>
    <w:p w14:paraId="565E4C67" w14:textId="77777777" w:rsidR="00746780" w:rsidRPr="00EC42EC" w:rsidRDefault="00746780" w:rsidP="00746780">
      <w:pPr>
        <w:ind w:firstLine="708"/>
        <w:rPr>
          <w:b/>
        </w:rPr>
      </w:pPr>
      <w:r w:rsidRPr="00EC42EC">
        <w:rPr>
          <w:b/>
        </w:rPr>
        <w:t>1.2. Kurucu, Yönetici ve Portföy Saklayıcısı Hakkında Genel Bilgiler</w:t>
      </w:r>
    </w:p>
    <w:p w14:paraId="7AA5FEF4" w14:textId="77777777" w:rsidR="00746780" w:rsidRPr="00EC42EC" w:rsidRDefault="00746780" w:rsidP="00746780">
      <w:pPr>
        <w:ind w:firstLine="708"/>
        <w:rPr>
          <w:b/>
        </w:rPr>
      </w:pPr>
    </w:p>
    <w:p w14:paraId="4D32DA4A" w14:textId="77777777" w:rsidR="00746780" w:rsidRPr="00EC42EC" w:rsidRDefault="00746780" w:rsidP="00746780">
      <w:pPr>
        <w:ind w:firstLine="708"/>
        <w:rPr>
          <w:b/>
        </w:rPr>
      </w:pPr>
      <w:r w:rsidRPr="00EC42EC">
        <w:rPr>
          <w:b/>
        </w:rPr>
        <w:t>1.2.1. Unvan ve Yetki Belgelerine İlişkin Bilgiler</w:t>
      </w:r>
    </w:p>
    <w:p w14:paraId="32ED2845" w14:textId="77777777" w:rsidR="00746780" w:rsidRPr="00EC42EC" w:rsidRDefault="00746780" w:rsidP="00746780">
      <w:pPr>
        <w:pStyle w:val="ListeParagraf"/>
        <w:ind w:left="1080"/>
        <w:rPr>
          <w:b/>
        </w:rPr>
      </w:pPr>
    </w:p>
    <w:tbl>
      <w:tblPr>
        <w:tblStyle w:val="TabloKlavuzu"/>
        <w:tblW w:w="0" w:type="auto"/>
        <w:tblInd w:w="137" w:type="dxa"/>
        <w:tblLook w:val="04A0" w:firstRow="1" w:lastRow="0" w:firstColumn="1" w:lastColumn="0" w:noHBand="0" w:noVBand="1"/>
      </w:tblPr>
      <w:tblGrid>
        <w:gridCol w:w="3912"/>
        <w:gridCol w:w="5301"/>
      </w:tblGrid>
      <w:tr w:rsidR="00746780" w:rsidRPr="00EC42EC" w14:paraId="4A090109" w14:textId="77777777" w:rsidTr="00383462">
        <w:trPr>
          <w:trHeight w:val="324"/>
        </w:trPr>
        <w:tc>
          <w:tcPr>
            <w:tcW w:w="9353" w:type="dxa"/>
            <w:gridSpan w:val="2"/>
          </w:tcPr>
          <w:p w14:paraId="4F2E9B4F" w14:textId="77777777" w:rsidR="00746780" w:rsidRPr="00EC42EC" w:rsidRDefault="00746780" w:rsidP="00383462">
            <w:pPr>
              <w:rPr>
                <w:b/>
                <w:i/>
              </w:rPr>
            </w:pPr>
            <w:r>
              <w:rPr>
                <w:b/>
                <w:i/>
              </w:rPr>
              <w:t>Kurucu ve Yönetici’nin</w:t>
            </w:r>
          </w:p>
        </w:tc>
      </w:tr>
      <w:tr w:rsidR="00746780" w:rsidRPr="00EC42EC" w14:paraId="28B24D5A" w14:textId="77777777" w:rsidTr="00383462">
        <w:trPr>
          <w:trHeight w:val="252"/>
        </w:trPr>
        <w:tc>
          <w:tcPr>
            <w:tcW w:w="3969" w:type="dxa"/>
          </w:tcPr>
          <w:p w14:paraId="5679A038" w14:textId="77777777" w:rsidR="00746780" w:rsidRPr="00EC42EC" w:rsidRDefault="00746780" w:rsidP="00383462">
            <w:r w:rsidRPr="00EC42EC">
              <w:t xml:space="preserve">Unvanı: </w:t>
            </w:r>
          </w:p>
        </w:tc>
        <w:tc>
          <w:tcPr>
            <w:tcW w:w="5384" w:type="dxa"/>
          </w:tcPr>
          <w:p w14:paraId="1304580B" w14:textId="77777777" w:rsidR="00746780" w:rsidRPr="00EC42EC" w:rsidRDefault="00746780" w:rsidP="00383462">
            <w:pPr>
              <w:rPr>
                <w:b/>
              </w:rPr>
            </w:pPr>
            <w:r>
              <w:rPr>
                <w:b/>
              </w:rPr>
              <w:t>Rota</w:t>
            </w:r>
            <w:r w:rsidRPr="00EC42EC">
              <w:rPr>
                <w:b/>
              </w:rPr>
              <w:t xml:space="preserve"> Portföy Yönetimi A.Ş.</w:t>
            </w:r>
          </w:p>
        </w:tc>
      </w:tr>
      <w:tr w:rsidR="00746780" w:rsidRPr="00EC42EC" w14:paraId="098BDE2C" w14:textId="77777777" w:rsidTr="00383462">
        <w:trPr>
          <w:trHeight w:val="252"/>
        </w:trPr>
        <w:tc>
          <w:tcPr>
            <w:tcW w:w="3969" w:type="dxa"/>
            <w:tcBorders>
              <w:top w:val="nil"/>
              <w:left w:val="single" w:sz="8" w:space="0" w:color="auto"/>
              <w:bottom w:val="single" w:sz="8" w:space="0" w:color="auto"/>
              <w:right w:val="single" w:sz="8" w:space="0" w:color="auto"/>
            </w:tcBorders>
          </w:tcPr>
          <w:p w14:paraId="5B4E47BE" w14:textId="77777777" w:rsidR="00746780" w:rsidRPr="00EC42EC" w:rsidRDefault="00746780" w:rsidP="00383462">
            <w:r>
              <w:t>Yetki Belgesi/leri</w:t>
            </w:r>
          </w:p>
        </w:tc>
        <w:tc>
          <w:tcPr>
            <w:tcW w:w="5384" w:type="dxa"/>
            <w:tcBorders>
              <w:top w:val="nil"/>
              <w:left w:val="nil"/>
              <w:bottom w:val="single" w:sz="8" w:space="0" w:color="auto"/>
              <w:right w:val="single" w:sz="8" w:space="0" w:color="auto"/>
            </w:tcBorders>
          </w:tcPr>
          <w:p w14:paraId="652319E4" w14:textId="77777777" w:rsidR="00746780" w:rsidRDefault="00746780" w:rsidP="00383462">
            <w:pPr>
              <w:rPr>
                <w:b/>
                <w:bCs/>
              </w:rPr>
            </w:pPr>
            <w:r>
              <w:rPr>
                <w:b/>
                <w:bCs/>
              </w:rPr>
              <w:t>Portföy Yöneticiliği ve Yatırım Danışmanlığı Faaliyetine İlişkin Yetki Belgesi</w:t>
            </w:r>
          </w:p>
          <w:p w14:paraId="0EA51FD1" w14:textId="77777777" w:rsidR="00746780" w:rsidRDefault="00746780" w:rsidP="00383462">
            <w:pPr>
              <w:rPr>
                <w:b/>
                <w:bCs/>
              </w:rPr>
            </w:pPr>
            <w:r>
              <w:rPr>
                <w:b/>
                <w:bCs/>
              </w:rPr>
              <w:t>Tarih: 09.02.2022</w:t>
            </w:r>
          </w:p>
          <w:p w14:paraId="6FC23C30" w14:textId="77777777" w:rsidR="00746780" w:rsidRPr="00EC42EC" w:rsidRDefault="00746780" w:rsidP="00383462">
            <w:pPr>
              <w:rPr>
                <w:b/>
              </w:rPr>
            </w:pPr>
            <w:r>
              <w:rPr>
                <w:b/>
                <w:bCs/>
              </w:rPr>
              <w:t xml:space="preserve">No: </w:t>
            </w:r>
            <w:r w:rsidRPr="00AD5B94">
              <w:rPr>
                <w:b/>
                <w:bCs/>
              </w:rPr>
              <w:t>PYŞ/PY.58-YD.22-149</w:t>
            </w:r>
          </w:p>
        </w:tc>
      </w:tr>
      <w:tr w:rsidR="00746780" w:rsidRPr="00EC42EC" w14:paraId="34D9EC6F" w14:textId="77777777" w:rsidTr="00383462">
        <w:trPr>
          <w:trHeight w:val="252"/>
        </w:trPr>
        <w:tc>
          <w:tcPr>
            <w:tcW w:w="9353" w:type="dxa"/>
            <w:gridSpan w:val="2"/>
          </w:tcPr>
          <w:p w14:paraId="55D704A4" w14:textId="77777777" w:rsidR="00746780" w:rsidRPr="00EC42EC" w:rsidRDefault="00746780" w:rsidP="00383462">
            <w:pPr>
              <w:rPr>
                <w:b/>
                <w:i/>
              </w:rPr>
            </w:pPr>
            <w:r w:rsidRPr="00EC42EC">
              <w:rPr>
                <w:b/>
                <w:i/>
              </w:rPr>
              <w:t>Portföy Saklayıcısı’nın</w:t>
            </w:r>
          </w:p>
        </w:tc>
      </w:tr>
      <w:tr w:rsidR="00746780" w:rsidRPr="00EC42EC" w14:paraId="4A8D487F" w14:textId="77777777" w:rsidTr="00383462">
        <w:trPr>
          <w:trHeight w:val="252"/>
        </w:trPr>
        <w:tc>
          <w:tcPr>
            <w:tcW w:w="3969" w:type="dxa"/>
          </w:tcPr>
          <w:p w14:paraId="27502489" w14:textId="77777777" w:rsidR="00746780" w:rsidRPr="00EC42EC" w:rsidRDefault="00746780" w:rsidP="00383462">
            <w:r w:rsidRPr="00EC42EC">
              <w:t>Unvanı:</w:t>
            </w:r>
          </w:p>
        </w:tc>
        <w:tc>
          <w:tcPr>
            <w:tcW w:w="5384" w:type="dxa"/>
          </w:tcPr>
          <w:p w14:paraId="489656D0" w14:textId="77777777" w:rsidR="00746780" w:rsidRPr="00EC42EC" w:rsidRDefault="00746780" w:rsidP="00383462">
            <w:pPr>
              <w:rPr>
                <w:b/>
              </w:rPr>
            </w:pPr>
            <w:r>
              <w:rPr>
                <w:b/>
              </w:rPr>
              <w:t>Türkiye İş Bankası</w:t>
            </w:r>
            <w:r w:rsidRPr="00EC42EC">
              <w:rPr>
                <w:b/>
              </w:rPr>
              <w:t xml:space="preserve"> A.Ş.</w:t>
            </w:r>
          </w:p>
        </w:tc>
      </w:tr>
      <w:tr w:rsidR="00746780" w:rsidRPr="00EC42EC" w14:paraId="5EDFFBE1" w14:textId="77777777" w:rsidTr="00383462">
        <w:trPr>
          <w:trHeight w:val="262"/>
        </w:trPr>
        <w:tc>
          <w:tcPr>
            <w:tcW w:w="3969" w:type="dxa"/>
          </w:tcPr>
          <w:p w14:paraId="29230F4C" w14:textId="77777777" w:rsidR="00746780" w:rsidRPr="00EC42EC" w:rsidRDefault="00746780" w:rsidP="00383462">
            <w:r w:rsidRPr="00EC42EC">
              <w:t>Portföy Sakla</w:t>
            </w:r>
            <w:r>
              <w:t xml:space="preserve">ma </w:t>
            </w:r>
            <w:r w:rsidRPr="00EC42EC">
              <w:t>Faaliyeti</w:t>
            </w:r>
            <w:r>
              <w:t xml:space="preserve"> İzni</w:t>
            </w:r>
            <w:r w:rsidRPr="00EC42EC">
              <w:t xml:space="preserve">ne İlişkin Kurul </w:t>
            </w:r>
            <w:r>
              <w:t xml:space="preserve">Karar </w:t>
            </w:r>
            <w:r w:rsidRPr="00EC42EC">
              <w:t>Tarih</w:t>
            </w:r>
            <w:r>
              <w:t>i ve Numarası</w:t>
            </w:r>
          </w:p>
        </w:tc>
        <w:tc>
          <w:tcPr>
            <w:tcW w:w="5384" w:type="dxa"/>
          </w:tcPr>
          <w:p w14:paraId="410EA44F" w14:textId="77777777" w:rsidR="00746780" w:rsidRDefault="00746780" w:rsidP="00383462">
            <w:pPr>
              <w:rPr>
                <w:b/>
                <w:bCs/>
              </w:rPr>
            </w:pPr>
            <w:r>
              <w:rPr>
                <w:b/>
                <w:bCs/>
              </w:rPr>
              <w:t>Tarih: 17/07/2014</w:t>
            </w:r>
          </w:p>
          <w:p w14:paraId="69C25266" w14:textId="77777777" w:rsidR="00746780" w:rsidRPr="00EC42EC" w:rsidRDefault="00746780" w:rsidP="00383462">
            <w:pPr>
              <w:rPr>
                <w:b/>
              </w:rPr>
            </w:pPr>
            <w:r>
              <w:rPr>
                <w:b/>
                <w:bCs/>
              </w:rPr>
              <w:t>No:22/709</w:t>
            </w:r>
          </w:p>
        </w:tc>
      </w:tr>
    </w:tbl>
    <w:p w14:paraId="02AE875C" w14:textId="77777777" w:rsidR="003E68E1" w:rsidRDefault="003E68E1" w:rsidP="00746780">
      <w:pPr>
        <w:ind w:left="709"/>
        <w:rPr>
          <w:b/>
        </w:rPr>
      </w:pPr>
    </w:p>
    <w:p w14:paraId="51CEC4FF" w14:textId="66205D77" w:rsidR="00746780" w:rsidRPr="00EC42EC" w:rsidRDefault="00746780" w:rsidP="00746780">
      <w:pPr>
        <w:ind w:left="709"/>
        <w:rPr>
          <w:b/>
        </w:rPr>
      </w:pPr>
      <w:r w:rsidRPr="00EC42EC">
        <w:rPr>
          <w:b/>
        </w:rPr>
        <w:t>1.2.2. İletişim Bilgileri</w:t>
      </w:r>
    </w:p>
    <w:p w14:paraId="046857D0" w14:textId="77777777" w:rsidR="00746780" w:rsidRPr="00EC42EC" w:rsidRDefault="00746780" w:rsidP="00746780">
      <w:pPr>
        <w:ind w:left="709"/>
        <w:rPr>
          <w:b/>
        </w:rPr>
      </w:pPr>
    </w:p>
    <w:tbl>
      <w:tblPr>
        <w:tblStyle w:val="TabloKlavuzu"/>
        <w:tblW w:w="0" w:type="auto"/>
        <w:tblInd w:w="137" w:type="dxa"/>
        <w:tblLook w:val="04A0" w:firstRow="1" w:lastRow="0" w:firstColumn="1" w:lastColumn="0" w:noHBand="0" w:noVBand="1"/>
      </w:tblPr>
      <w:tblGrid>
        <w:gridCol w:w="3897"/>
        <w:gridCol w:w="5316"/>
      </w:tblGrid>
      <w:tr w:rsidR="00746780" w:rsidRPr="00EC42EC" w14:paraId="623D1A74" w14:textId="77777777" w:rsidTr="00383462">
        <w:trPr>
          <w:trHeight w:val="324"/>
        </w:trPr>
        <w:tc>
          <w:tcPr>
            <w:tcW w:w="9353" w:type="dxa"/>
            <w:gridSpan w:val="2"/>
          </w:tcPr>
          <w:p w14:paraId="31FD6CA1" w14:textId="77777777" w:rsidR="00746780" w:rsidRPr="00EC42EC" w:rsidRDefault="00746780" w:rsidP="00383462">
            <w:pPr>
              <w:rPr>
                <w:b/>
                <w:i/>
              </w:rPr>
            </w:pPr>
            <w:r w:rsidRPr="00EC42EC">
              <w:rPr>
                <w:b/>
                <w:i/>
              </w:rPr>
              <w:t>Kurucu</w:t>
            </w:r>
            <w:r>
              <w:rPr>
                <w:b/>
                <w:i/>
              </w:rPr>
              <w:t xml:space="preserve"> ve Yönetici</w:t>
            </w:r>
            <w:r w:rsidRPr="00EC42EC">
              <w:rPr>
                <w:b/>
                <w:i/>
              </w:rPr>
              <w:t xml:space="preserve"> </w:t>
            </w:r>
            <w:r>
              <w:rPr>
                <w:b/>
                <w:i/>
              </w:rPr>
              <w:t>Rota</w:t>
            </w:r>
            <w:r w:rsidRPr="00EC42EC">
              <w:rPr>
                <w:b/>
                <w:i/>
              </w:rPr>
              <w:t xml:space="preserve"> Portföy Yönetimi A.Ş.’nin</w:t>
            </w:r>
          </w:p>
        </w:tc>
      </w:tr>
      <w:tr w:rsidR="00746780" w:rsidRPr="00EC42EC" w14:paraId="27F08003" w14:textId="77777777" w:rsidTr="00383462">
        <w:trPr>
          <w:trHeight w:val="252"/>
        </w:trPr>
        <w:tc>
          <w:tcPr>
            <w:tcW w:w="3969" w:type="dxa"/>
          </w:tcPr>
          <w:p w14:paraId="5D2CB64C" w14:textId="77777777" w:rsidR="00746780" w:rsidRPr="00EC42EC" w:rsidRDefault="00746780" w:rsidP="00383462">
            <w:r w:rsidRPr="00EC42EC">
              <w:t>Merkez adresi ve internet sitesi:</w:t>
            </w:r>
          </w:p>
        </w:tc>
        <w:tc>
          <w:tcPr>
            <w:tcW w:w="5384" w:type="dxa"/>
          </w:tcPr>
          <w:p w14:paraId="175A5981" w14:textId="77777777" w:rsidR="00746780" w:rsidRDefault="00746780" w:rsidP="00383462">
            <w:r>
              <w:t xml:space="preserve">Esentepe Mah. Büyükdere Cad. Ferko Signature Blok No:175 İç Kapı No:32 Şişli / İstanbul </w:t>
            </w:r>
          </w:p>
          <w:p w14:paraId="00285FD1" w14:textId="77777777" w:rsidR="00746780" w:rsidRPr="00EC42EC" w:rsidRDefault="00746780" w:rsidP="00383462">
            <w:pPr>
              <w:rPr>
                <w:b/>
              </w:rPr>
            </w:pPr>
            <w:r>
              <w:rPr>
                <w:b/>
              </w:rPr>
              <w:t>www.rotaportfoy.com.tr</w:t>
            </w:r>
          </w:p>
        </w:tc>
      </w:tr>
      <w:tr w:rsidR="00746780" w:rsidRPr="00EC42EC" w14:paraId="5A1A2E12" w14:textId="77777777" w:rsidTr="00383462">
        <w:trPr>
          <w:trHeight w:val="252"/>
        </w:trPr>
        <w:tc>
          <w:tcPr>
            <w:tcW w:w="3969" w:type="dxa"/>
          </w:tcPr>
          <w:p w14:paraId="506BB793" w14:textId="77777777" w:rsidR="00746780" w:rsidRPr="00EC42EC" w:rsidRDefault="00746780" w:rsidP="00383462">
            <w:r w:rsidRPr="00EC42EC">
              <w:t>Telefon numarası:</w:t>
            </w:r>
          </w:p>
        </w:tc>
        <w:tc>
          <w:tcPr>
            <w:tcW w:w="5384" w:type="dxa"/>
          </w:tcPr>
          <w:p w14:paraId="4F6E6B60" w14:textId="77777777" w:rsidR="00746780" w:rsidRPr="00EC42EC" w:rsidRDefault="00746780" w:rsidP="00383462">
            <w:pPr>
              <w:rPr>
                <w:b/>
              </w:rPr>
            </w:pPr>
            <w:r>
              <w:rPr>
                <w:b/>
              </w:rPr>
              <w:t>0212 950 09 50</w:t>
            </w:r>
          </w:p>
        </w:tc>
      </w:tr>
      <w:tr w:rsidR="00746780" w:rsidRPr="00EC42EC" w14:paraId="24B6C1C6" w14:textId="77777777" w:rsidTr="00383462">
        <w:trPr>
          <w:trHeight w:val="252"/>
        </w:trPr>
        <w:tc>
          <w:tcPr>
            <w:tcW w:w="9353" w:type="dxa"/>
            <w:gridSpan w:val="2"/>
          </w:tcPr>
          <w:p w14:paraId="39664D78" w14:textId="77777777" w:rsidR="00746780" w:rsidRPr="00EC42EC" w:rsidRDefault="00746780" w:rsidP="00383462">
            <w:pPr>
              <w:rPr>
                <w:b/>
                <w:i/>
              </w:rPr>
            </w:pPr>
            <w:r w:rsidRPr="00EC42EC">
              <w:rPr>
                <w:b/>
                <w:i/>
              </w:rPr>
              <w:t>Portföy Saklayıcısı</w:t>
            </w:r>
            <w:r>
              <w:rPr>
                <w:b/>
                <w:i/>
              </w:rPr>
              <w:t xml:space="preserve"> Türkiye İş Bankası</w:t>
            </w:r>
            <w:r w:rsidRPr="00EC42EC">
              <w:rPr>
                <w:b/>
              </w:rPr>
              <w:t xml:space="preserve"> </w:t>
            </w:r>
            <w:r w:rsidRPr="00EC42EC">
              <w:rPr>
                <w:b/>
                <w:i/>
              </w:rPr>
              <w:t>A.Ş.’nin</w:t>
            </w:r>
          </w:p>
        </w:tc>
      </w:tr>
      <w:tr w:rsidR="00746780" w:rsidRPr="00EC42EC" w14:paraId="33D352F6" w14:textId="77777777" w:rsidTr="00383462">
        <w:trPr>
          <w:trHeight w:val="262"/>
        </w:trPr>
        <w:tc>
          <w:tcPr>
            <w:tcW w:w="3969" w:type="dxa"/>
          </w:tcPr>
          <w:p w14:paraId="12347FDB" w14:textId="77777777" w:rsidR="00746780" w:rsidRPr="00EC42EC" w:rsidRDefault="00746780" w:rsidP="00383462">
            <w:r w:rsidRPr="00EC42EC">
              <w:t>Merkez adresi ve internet sitesi:</w:t>
            </w:r>
          </w:p>
        </w:tc>
        <w:tc>
          <w:tcPr>
            <w:tcW w:w="5384" w:type="dxa"/>
          </w:tcPr>
          <w:p w14:paraId="0319AD82" w14:textId="77777777" w:rsidR="00746780" w:rsidRDefault="00746780" w:rsidP="00383462">
            <w:r>
              <w:t>İş Kuleleri Kule 1 Kat:1 34330 4.Levent/İstanbul</w:t>
            </w:r>
          </w:p>
          <w:p w14:paraId="0B220981" w14:textId="77777777" w:rsidR="00746780" w:rsidRPr="00EC42EC" w:rsidRDefault="00746780" w:rsidP="00383462">
            <w:pPr>
              <w:rPr>
                <w:b/>
              </w:rPr>
            </w:pPr>
            <w:r>
              <w:rPr>
                <w:b/>
              </w:rPr>
              <w:t>www.isbank.com.tr</w:t>
            </w:r>
          </w:p>
        </w:tc>
      </w:tr>
      <w:tr w:rsidR="00746780" w:rsidRPr="00EC42EC" w14:paraId="6872C0A6" w14:textId="77777777" w:rsidTr="00383462">
        <w:trPr>
          <w:trHeight w:val="262"/>
        </w:trPr>
        <w:tc>
          <w:tcPr>
            <w:tcW w:w="3969" w:type="dxa"/>
          </w:tcPr>
          <w:p w14:paraId="4D228192" w14:textId="77777777" w:rsidR="00746780" w:rsidRPr="00EC42EC" w:rsidRDefault="00746780" w:rsidP="00383462">
            <w:r w:rsidRPr="00EC42EC">
              <w:t>Telefon numarası:</w:t>
            </w:r>
          </w:p>
        </w:tc>
        <w:tc>
          <w:tcPr>
            <w:tcW w:w="5384" w:type="dxa"/>
          </w:tcPr>
          <w:p w14:paraId="3FD1A34E" w14:textId="77777777" w:rsidR="00746780" w:rsidRPr="00EC42EC" w:rsidRDefault="00746780" w:rsidP="00383462">
            <w:pPr>
              <w:rPr>
                <w:b/>
              </w:rPr>
            </w:pPr>
            <w:r>
              <w:rPr>
                <w:b/>
              </w:rPr>
              <w:t>0212 316 00 00</w:t>
            </w:r>
          </w:p>
        </w:tc>
      </w:tr>
    </w:tbl>
    <w:p w14:paraId="0E328CF9" w14:textId="77777777" w:rsidR="00746780" w:rsidRPr="00EC42EC" w:rsidRDefault="00746780" w:rsidP="00FF6157">
      <w:pPr>
        <w:rPr>
          <w:b/>
        </w:rPr>
      </w:pPr>
    </w:p>
    <w:p w14:paraId="4456F80F" w14:textId="77777777" w:rsidR="00746780" w:rsidRPr="00EC42EC" w:rsidRDefault="00746780" w:rsidP="00746780">
      <w:pPr>
        <w:ind w:left="709"/>
        <w:rPr>
          <w:b/>
        </w:rPr>
      </w:pPr>
      <w:r w:rsidRPr="00EC42EC">
        <w:rPr>
          <w:b/>
        </w:rPr>
        <w:t xml:space="preserve">1.3. Kurucu Yöneticileri </w:t>
      </w:r>
    </w:p>
    <w:p w14:paraId="57773BDA" w14:textId="77777777" w:rsidR="00746780" w:rsidRPr="00EC42EC" w:rsidRDefault="00746780" w:rsidP="00746780">
      <w:pPr>
        <w:pStyle w:val="ListeParagraf"/>
        <w:ind w:left="1069"/>
      </w:pPr>
    </w:p>
    <w:p w14:paraId="14400353" w14:textId="77777777" w:rsidR="00746780" w:rsidRPr="00EC42EC" w:rsidRDefault="00746780" w:rsidP="00746780">
      <w:pPr>
        <w:ind w:firstLine="708"/>
      </w:pPr>
      <w:r w:rsidRPr="00EC42EC">
        <w:t xml:space="preserve">Fon’u temsil ve ilzama Kurucunun yönetim kurulu üyeleri yetkili olup, yönetim kurulu üyelerine ve kurucunun diğer yöneticilerine </w:t>
      </w:r>
      <w:r>
        <w:t>ilişkin</w:t>
      </w:r>
      <w:r w:rsidRPr="00EC42EC">
        <w:t xml:space="preserve"> bilgiler aşağıda yer almaktadır:</w:t>
      </w:r>
    </w:p>
    <w:p w14:paraId="76CC348E" w14:textId="77777777" w:rsidR="00746780" w:rsidRPr="00EC42EC" w:rsidRDefault="00746780" w:rsidP="00746780">
      <w:pPr>
        <w:ind w:firstLine="708"/>
      </w:pPr>
    </w:p>
    <w:tbl>
      <w:tblPr>
        <w:tblStyle w:val="TabloKlavuzu"/>
        <w:tblW w:w="9269" w:type="dxa"/>
        <w:tblInd w:w="137" w:type="dxa"/>
        <w:tblLook w:val="04A0" w:firstRow="1" w:lastRow="0" w:firstColumn="1" w:lastColumn="0" w:noHBand="0" w:noVBand="1"/>
      </w:tblPr>
      <w:tblGrid>
        <w:gridCol w:w="1482"/>
        <w:gridCol w:w="1629"/>
        <w:gridCol w:w="4884"/>
        <w:gridCol w:w="1274"/>
      </w:tblGrid>
      <w:tr w:rsidR="00256126" w14:paraId="28DB9CD7" w14:textId="77777777" w:rsidTr="00256126">
        <w:tc>
          <w:tcPr>
            <w:tcW w:w="1482" w:type="dxa"/>
            <w:tcBorders>
              <w:top w:val="single" w:sz="4" w:space="0" w:color="auto"/>
              <w:left w:val="single" w:sz="4" w:space="0" w:color="auto"/>
              <w:bottom w:val="single" w:sz="4" w:space="0" w:color="auto"/>
              <w:right w:val="single" w:sz="4" w:space="0" w:color="auto"/>
            </w:tcBorders>
            <w:hideMark/>
          </w:tcPr>
          <w:p w14:paraId="13092EA3" w14:textId="77777777" w:rsidR="00256126" w:rsidRDefault="00256126" w:rsidP="00417334">
            <w:pPr>
              <w:rPr>
                <w:b/>
              </w:rPr>
            </w:pPr>
            <w:bookmarkStart w:id="5" w:name="_Hlk100746900"/>
            <w:r>
              <w:rPr>
                <w:b/>
              </w:rPr>
              <w:t>Adı Soyadı</w:t>
            </w:r>
          </w:p>
        </w:tc>
        <w:tc>
          <w:tcPr>
            <w:tcW w:w="1629" w:type="dxa"/>
            <w:tcBorders>
              <w:top w:val="single" w:sz="4" w:space="0" w:color="auto"/>
              <w:left w:val="single" w:sz="4" w:space="0" w:color="auto"/>
              <w:bottom w:val="single" w:sz="4" w:space="0" w:color="auto"/>
              <w:right w:val="single" w:sz="4" w:space="0" w:color="auto"/>
            </w:tcBorders>
            <w:hideMark/>
          </w:tcPr>
          <w:p w14:paraId="624EF137" w14:textId="77777777" w:rsidR="00256126" w:rsidRDefault="00256126" w:rsidP="00417334">
            <w:pPr>
              <w:rPr>
                <w:b/>
              </w:rPr>
            </w:pPr>
            <w:r>
              <w:rPr>
                <w:b/>
              </w:rPr>
              <w:t>Görevi</w:t>
            </w:r>
          </w:p>
        </w:tc>
        <w:tc>
          <w:tcPr>
            <w:tcW w:w="4884" w:type="dxa"/>
            <w:tcBorders>
              <w:top w:val="single" w:sz="4" w:space="0" w:color="auto"/>
              <w:left w:val="single" w:sz="4" w:space="0" w:color="auto"/>
              <w:bottom w:val="single" w:sz="4" w:space="0" w:color="auto"/>
              <w:right w:val="single" w:sz="4" w:space="0" w:color="auto"/>
            </w:tcBorders>
            <w:hideMark/>
          </w:tcPr>
          <w:p w14:paraId="0988A832" w14:textId="77777777" w:rsidR="00256126" w:rsidRDefault="00256126" w:rsidP="00417334">
            <w:pPr>
              <w:rPr>
                <w:b/>
              </w:rPr>
            </w:pPr>
            <w:r>
              <w:rPr>
                <w:b/>
                <w:lang w:eastAsia="en-US"/>
              </w:rPr>
              <w:t>Son 5 Yılda Yaptığı İşler (Yıl-Şirket-Görev)</w:t>
            </w:r>
          </w:p>
        </w:tc>
        <w:tc>
          <w:tcPr>
            <w:tcW w:w="1274" w:type="dxa"/>
            <w:tcBorders>
              <w:top w:val="single" w:sz="4" w:space="0" w:color="auto"/>
              <w:left w:val="single" w:sz="4" w:space="0" w:color="auto"/>
              <w:bottom w:val="single" w:sz="4" w:space="0" w:color="auto"/>
              <w:right w:val="single" w:sz="4" w:space="0" w:color="auto"/>
            </w:tcBorders>
            <w:hideMark/>
          </w:tcPr>
          <w:p w14:paraId="5AA93824" w14:textId="77777777" w:rsidR="00256126" w:rsidRDefault="00256126" w:rsidP="00417334">
            <w:pPr>
              <w:rPr>
                <w:b/>
              </w:rPr>
            </w:pPr>
            <w:r>
              <w:rPr>
                <w:b/>
              </w:rPr>
              <w:t>Tecrübesi</w:t>
            </w:r>
          </w:p>
        </w:tc>
      </w:tr>
      <w:bookmarkEnd w:id="5"/>
      <w:tr w:rsidR="00256126" w14:paraId="3B620166" w14:textId="77777777" w:rsidTr="00256126">
        <w:tc>
          <w:tcPr>
            <w:tcW w:w="1482" w:type="dxa"/>
            <w:tcBorders>
              <w:top w:val="single" w:sz="4" w:space="0" w:color="auto"/>
              <w:left w:val="single" w:sz="4" w:space="0" w:color="auto"/>
              <w:bottom w:val="single" w:sz="4" w:space="0" w:color="auto"/>
              <w:right w:val="single" w:sz="4" w:space="0" w:color="auto"/>
            </w:tcBorders>
            <w:hideMark/>
          </w:tcPr>
          <w:p w14:paraId="0C1C9CD4" w14:textId="77777777" w:rsidR="00256126" w:rsidRDefault="00256126" w:rsidP="00417334">
            <w:r>
              <w:t>Tevfik ERASLAN</w:t>
            </w:r>
          </w:p>
        </w:tc>
        <w:tc>
          <w:tcPr>
            <w:tcW w:w="1629" w:type="dxa"/>
            <w:tcBorders>
              <w:top w:val="single" w:sz="4" w:space="0" w:color="auto"/>
              <w:left w:val="single" w:sz="4" w:space="0" w:color="auto"/>
              <w:bottom w:val="single" w:sz="4" w:space="0" w:color="auto"/>
              <w:right w:val="single" w:sz="4" w:space="0" w:color="auto"/>
            </w:tcBorders>
            <w:hideMark/>
          </w:tcPr>
          <w:p w14:paraId="40B937C0" w14:textId="77777777" w:rsidR="00256126" w:rsidRDefault="00256126" w:rsidP="00417334">
            <w:r>
              <w:t>Yönetim Kurulu Başkanı/Genel Müdür</w:t>
            </w:r>
          </w:p>
        </w:tc>
        <w:tc>
          <w:tcPr>
            <w:tcW w:w="4884" w:type="dxa"/>
            <w:tcBorders>
              <w:top w:val="single" w:sz="4" w:space="0" w:color="auto"/>
              <w:left w:val="single" w:sz="4" w:space="0" w:color="auto"/>
              <w:bottom w:val="single" w:sz="4" w:space="0" w:color="auto"/>
              <w:right w:val="single" w:sz="4" w:space="0" w:color="auto"/>
            </w:tcBorders>
            <w:hideMark/>
          </w:tcPr>
          <w:p w14:paraId="1C9C8636" w14:textId="77777777" w:rsidR="00256126" w:rsidRDefault="00256126" w:rsidP="00417334">
            <w:r>
              <w:t>(2021-Devam) – Rota Portföy Yönetimi A.Ş. – Yönetim Kurulu Başkanı / Genel Müdür</w:t>
            </w:r>
          </w:p>
          <w:p w14:paraId="3BD587B4" w14:textId="77777777" w:rsidR="00256126" w:rsidRDefault="00256126" w:rsidP="00417334">
            <w:r>
              <w:t>(2013-2021) – İş Portföy Yönetimi A.Ş. – Genel Müdür</w:t>
            </w:r>
          </w:p>
        </w:tc>
        <w:tc>
          <w:tcPr>
            <w:tcW w:w="1274" w:type="dxa"/>
            <w:tcBorders>
              <w:top w:val="single" w:sz="4" w:space="0" w:color="auto"/>
              <w:left w:val="single" w:sz="4" w:space="0" w:color="auto"/>
              <w:bottom w:val="single" w:sz="4" w:space="0" w:color="auto"/>
              <w:right w:val="single" w:sz="4" w:space="0" w:color="auto"/>
            </w:tcBorders>
            <w:hideMark/>
          </w:tcPr>
          <w:p w14:paraId="09C3E62D" w14:textId="77777777" w:rsidR="00256126" w:rsidRDefault="00256126" w:rsidP="00417334">
            <w:r>
              <w:t>27 Yıl</w:t>
            </w:r>
          </w:p>
        </w:tc>
      </w:tr>
      <w:tr w:rsidR="00256126" w14:paraId="53B57619" w14:textId="77777777" w:rsidTr="00256126">
        <w:tc>
          <w:tcPr>
            <w:tcW w:w="1482" w:type="dxa"/>
            <w:tcBorders>
              <w:top w:val="single" w:sz="4" w:space="0" w:color="auto"/>
              <w:left w:val="single" w:sz="4" w:space="0" w:color="auto"/>
              <w:bottom w:val="single" w:sz="4" w:space="0" w:color="auto"/>
              <w:right w:val="single" w:sz="4" w:space="0" w:color="auto"/>
            </w:tcBorders>
          </w:tcPr>
          <w:p w14:paraId="39DC709C" w14:textId="77777777" w:rsidR="00256126" w:rsidRDefault="00256126" w:rsidP="00417334">
            <w:r>
              <w:t>Mert AYAYDIN</w:t>
            </w:r>
          </w:p>
        </w:tc>
        <w:tc>
          <w:tcPr>
            <w:tcW w:w="1629" w:type="dxa"/>
            <w:tcBorders>
              <w:top w:val="single" w:sz="4" w:space="0" w:color="auto"/>
              <w:left w:val="single" w:sz="4" w:space="0" w:color="auto"/>
              <w:bottom w:val="single" w:sz="4" w:space="0" w:color="auto"/>
              <w:right w:val="single" w:sz="4" w:space="0" w:color="auto"/>
            </w:tcBorders>
          </w:tcPr>
          <w:p w14:paraId="58D8E03F" w14:textId="77777777" w:rsidR="00256126" w:rsidRDefault="00256126" w:rsidP="00417334">
            <w:r>
              <w:t>Yönetim Kurulu Başkan Vekili</w:t>
            </w:r>
          </w:p>
        </w:tc>
        <w:tc>
          <w:tcPr>
            <w:tcW w:w="4884" w:type="dxa"/>
            <w:tcBorders>
              <w:top w:val="single" w:sz="4" w:space="0" w:color="auto"/>
              <w:left w:val="single" w:sz="4" w:space="0" w:color="auto"/>
              <w:bottom w:val="single" w:sz="4" w:space="0" w:color="auto"/>
              <w:right w:val="single" w:sz="4" w:space="0" w:color="auto"/>
            </w:tcBorders>
          </w:tcPr>
          <w:p w14:paraId="131FA6FB" w14:textId="77777777" w:rsidR="00256126" w:rsidRDefault="00256126" w:rsidP="00417334">
            <w:r>
              <w:t>(2022 – Devam) Rota Portföy Yönetimi A.Ş. – Yönetim Kurulu Başkan Vekili</w:t>
            </w:r>
          </w:p>
          <w:p w14:paraId="4055B9B5" w14:textId="77777777" w:rsidR="00256126" w:rsidRDefault="00256126" w:rsidP="00417334">
            <w:r>
              <w:t>(2020-Devam) - İpekyol Giyim San. Paz. ve Tic. A.Ş. – Mali İşler Yöneticisi</w:t>
            </w:r>
          </w:p>
          <w:p w14:paraId="33C23C61" w14:textId="77777777" w:rsidR="00256126" w:rsidRDefault="00256126" w:rsidP="00417334">
            <w:r>
              <w:t>(2018-2020) – Meltemi Investment Management Limited - Analist</w:t>
            </w:r>
          </w:p>
        </w:tc>
        <w:tc>
          <w:tcPr>
            <w:tcW w:w="1274" w:type="dxa"/>
            <w:tcBorders>
              <w:top w:val="single" w:sz="4" w:space="0" w:color="auto"/>
              <w:left w:val="single" w:sz="4" w:space="0" w:color="auto"/>
              <w:bottom w:val="single" w:sz="4" w:space="0" w:color="auto"/>
              <w:right w:val="single" w:sz="4" w:space="0" w:color="auto"/>
            </w:tcBorders>
          </w:tcPr>
          <w:p w14:paraId="3D933718" w14:textId="77777777" w:rsidR="00256126" w:rsidRDefault="00256126" w:rsidP="00417334">
            <w:r>
              <w:t>4 Yıl</w:t>
            </w:r>
          </w:p>
        </w:tc>
      </w:tr>
      <w:tr w:rsidR="00256126" w14:paraId="56BD23BD" w14:textId="77777777" w:rsidTr="00256126">
        <w:tc>
          <w:tcPr>
            <w:tcW w:w="1482" w:type="dxa"/>
            <w:tcBorders>
              <w:top w:val="single" w:sz="4" w:space="0" w:color="auto"/>
              <w:left w:val="single" w:sz="4" w:space="0" w:color="auto"/>
              <w:bottom w:val="single" w:sz="4" w:space="0" w:color="auto"/>
              <w:right w:val="single" w:sz="4" w:space="0" w:color="auto"/>
            </w:tcBorders>
          </w:tcPr>
          <w:p w14:paraId="738089E0" w14:textId="77777777" w:rsidR="00256126" w:rsidRDefault="00256126" w:rsidP="00417334">
            <w:r>
              <w:lastRenderedPageBreak/>
              <w:t>Özcan TÜRKAKIN</w:t>
            </w:r>
          </w:p>
        </w:tc>
        <w:tc>
          <w:tcPr>
            <w:tcW w:w="1629" w:type="dxa"/>
            <w:tcBorders>
              <w:top w:val="single" w:sz="4" w:space="0" w:color="auto"/>
              <w:left w:val="single" w:sz="4" w:space="0" w:color="auto"/>
              <w:bottom w:val="single" w:sz="4" w:space="0" w:color="auto"/>
              <w:right w:val="single" w:sz="4" w:space="0" w:color="auto"/>
            </w:tcBorders>
          </w:tcPr>
          <w:p w14:paraId="25364CB0" w14:textId="77777777" w:rsidR="00256126" w:rsidRDefault="00256126" w:rsidP="00417334">
            <w:r>
              <w:t>Yönetim Kurulu Üyesi</w:t>
            </w:r>
          </w:p>
        </w:tc>
        <w:tc>
          <w:tcPr>
            <w:tcW w:w="4884" w:type="dxa"/>
            <w:tcBorders>
              <w:top w:val="single" w:sz="4" w:space="0" w:color="auto"/>
              <w:left w:val="single" w:sz="4" w:space="0" w:color="auto"/>
              <w:bottom w:val="single" w:sz="4" w:space="0" w:color="auto"/>
              <w:right w:val="single" w:sz="4" w:space="0" w:color="auto"/>
            </w:tcBorders>
          </w:tcPr>
          <w:p w14:paraId="2F28CE96" w14:textId="77777777" w:rsidR="00256126" w:rsidRDefault="00256126" w:rsidP="00417334">
            <w:r>
              <w:t>(2022 – Devam) – Rota Portföy Yönetimi A.Ş. – Yönetim Kurulu Üyesi</w:t>
            </w:r>
          </w:p>
          <w:p w14:paraId="4B8A1161" w14:textId="77777777" w:rsidR="00256126" w:rsidRDefault="00256126" w:rsidP="00417334">
            <w:r>
              <w:t>(2016-Devam) - Emekli</w:t>
            </w:r>
          </w:p>
          <w:p w14:paraId="0AC99B9F" w14:textId="77777777" w:rsidR="00256126" w:rsidRDefault="00256126" w:rsidP="00417334">
            <w:r>
              <w:t>(2013-2016) - Türkiye Sınai Kalkınma Bankası A.Ş. - Genel Müdür</w:t>
            </w:r>
          </w:p>
        </w:tc>
        <w:tc>
          <w:tcPr>
            <w:tcW w:w="1274" w:type="dxa"/>
            <w:tcBorders>
              <w:top w:val="single" w:sz="4" w:space="0" w:color="auto"/>
              <w:left w:val="single" w:sz="4" w:space="0" w:color="auto"/>
              <w:bottom w:val="single" w:sz="4" w:space="0" w:color="auto"/>
              <w:right w:val="single" w:sz="4" w:space="0" w:color="auto"/>
            </w:tcBorders>
          </w:tcPr>
          <w:p w14:paraId="7363CD05" w14:textId="77777777" w:rsidR="00256126" w:rsidRDefault="00256126" w:rsidP="00417334">
            <w:r>
              <w:t>37 Yıl</w:t>
            </w:r>
          </w:p>
        </w:tc>
      </w:tr>
      <w:tr w:rsidR="00256126" w14:paraId="29E22AAB" w14:textId="77777777" w:rsidTr="00256126">
        <w:tc>
          <w:tcPr>
            <w:tcW w:w="1482" w:type="dxa"/>
            <w:tcBorders>
              <w:top w:val="single" w:sz="4" w:space="0" w:color="auto"/>
              <w:left w:val="single" w:sz="4" w:space="0" w:color="auto"/>
              <w:bottom w:val="single" w:sz="4" w:space="0" w:color="auto"/>
              <w:right w:val="single" w:sz="4" w:space="0" w:color="auto"/>
            </w:tcBorders>
            <w:hideMark/>
          </w:tcPr>
          <w:p w14:paraId="3110EB4B" w14:textId="77777777" w:rsidR="00256126" w:rsidRDefault="00256126" w:rsidP="00417334">
            <w:r>
              <w:t>Uğur AYAYDIN</w:t>
            </w:r>
          </w:p>
        </w:tc>
        <w:tc>
          <w:tcPr>
            <w:tcW w:w="1629" w:type="dxa"/>
            <w:tcBorders>
              <w:top w:val="single" w:sz="4" w:space="0" w:color="auto"/>
              <w:left w:val="single" w:sz="4" w:space="0" w:color="auto"/>
              <w:bottom w:val="single" w:sz="4" w:space="0" w:color="auto"/>
              <w:right w:val="single" w:sz="4" w:space="0" w:color="auto"/>
            </w:tcBorders>
            <w:hideMark/>
          </w:tcPr>
          <w:p w14:paraId="711F69B8" w14:textId="77777777" w:rsidR="00256126" w:rsidRDefault="00256126" w:rsidP="00417334">
            <w:r>
              <w:t>Yönetim Kurulu Üyesi</w:t>
            </w:r>
          </w:p>
        </w:tc>
        <w:tc>
          <w:tcPr>
            <w:tcW w:w="4884" w:type="dxa"/>
            <w:tcBorders>
              <w:top w:val="single" w:sz="4" w:space="0" w:color="auto"/>
              <w:left w:val="single" w:sz="4" w:space="0" w:color="auto"/>
              <w:bottom w:val="single" w:sz="4" w:space="0" w:color="auto"/>
              <w:right w:val="single" w:sz="4" w:space="0" w:color="auto"/>
            </w:tcBorders>
            <w:hideMark/>
          </w:tcPr>
          <w:p w14:paraId="5D27B100" w14:textId="77777777" w:rsidR="00256126" w:rsidRDefault="00256126" w:rsidP="00417334">
            <w:r>
              <w:t>(2022 – Devam) – Rota Portföy Yönetimi A.Ş. – Yönetim Kurulu Üyesi</w:t>
            </w:r>
          </w:p>
          <w:p w14:paraId="56BE4243" w14:textId="77777777" w:rsidR="00256126" w:rsidRDefault="00256126" w:rsidP="00417334">
            <w:r>
              <w:t>(2010 – Devam) - İpekyol Giyim San. Paz. ve Tic. A.Ş. – Genel Müdür</w:t>
            </w:r>
          </w:p>
        </w:tc>
        <w:tc>
          <w:tcPr>
            <w:tcW w:w="1274" w:type="dxa"/>
            <w:tcBorders>
              <w:top w:val="single" w:sz="4" w:space="0" w:color="auto"/>
              <w:left w:val="single" w:sz="4" w:space="0" w:color="auto"/>
              <w:bottom w:val="single" w:sz="4" w:space="0" w:color="auto"/>
              <w:right w:val="single" w:sz="4" w:space="0" w:color="auto"/>
            </w:tcBorders>
            <w:hideMark/>
          </w:tcPr>
          <w:p w14:paraId="5C00E871" w14:textId="77777777" w:rsidR="00256126" w:rsidRDefault="00256126" w:rsidP="00417334">
            <w:r>
              <w:t>26 Yıl</w:t>
            </w:r>
          </w:p>
        </w:tc>
      </w:tr>
      <w:tr w:rsidR="00256126" w14:paraId="4AF623A5" w14:textId="77777777" w:rsidTr="00256126">
        <w:tc>
          <w:tcPr>
            <w:tcW w:w="1482" w:type="dxa"/>
            <w:tcBorders>
              <w:top w:val="single" w:sz="4" w:space="0" w:color="auto"/>
              <w:left w:val="single" w:sz="4" w:space="0" w:color="auto"/>
              <w:bottom w:val="single" w:sz="4" w:space="0" w:color="auto"/>
              <w:right w:val="single" w:sz="4" w:space="0" w:color="auto"/>
            </w:tcBorders>
            <w:hideMark/>
          </w:tcPr>
          <w:p w14:paraId="648BA003" w14:textId="77777777" w:rsidR="00256126" w:rsidRDefault="00256126" w:rsidP="00417334">
            <w:r>
              <w:t>Nilgün ERASLAN</w:t>
            </w:r>
          </w:p>
        </w:tc>
        <w:tc>
          <w:tcPr>
            <w:tcW w:w="1629" w:type="dxa"/>
            <w:tcBorders>
              <w:top w:val="single" w:sz="4" w:space="0" w:color="auto"/>
              <w:left w:val="single" w:sz="4" w:space="0" w:color="auto"/>
              <w:bottom w:val="single" w:sz="4" w:space="0" w:color="auto"/>
              <w:right w:val="single" w:sz="4" w:space="0" w:color="auto"/>
            </w:tcBorders>
            <w:hideMark/>
          </w:tcPr>
          <w:p w14:paraId="5B866E47" w14:textId="77777777" w:rsidR="00256126" w:rsidRDefault="00256126" w:rsidP="00417334">
            <w:r>
              <w:t>Yönetim Kurulu Üyesi (İç Kontrolden Sorumlu)</w:t>
            </w:r>
          </w:p>
        </w:tc>
        <w:tc>
          <w:tcPr>
            <w:tcW w:w="4884" w:type="dxa"/>
            <w:tcBorders>
              <w:top w:val="single" w:sz="4" w:space="0" w:color="auto"/>
              <w:left w:val="single" w:sz="4" w:space="0" w:color="auto"/>
              <w:bottom w:val="single" w:sz="4" w:space="0" w:color="auto"/>
              <w:right w:val="single" w:sz="4" w:space="0" w:color="auto"/>
            </w:tcBorders>
            <w:hideMark/>
          </w:tcPr>
          <w:p w14:paraId="4F4175CE" w14:textId="77777777" w:rsidR="00256126" w:rsidRDefault="00256126" w:rsidP="00417334">
            <w:r>
              <w:t>(2021 – Devam) – Rota Portföy Yönetimi A.Ş. – Yönetim Kurulu Üyesi</w:t>
            </w:r>
          </w:p>
          <w:p w14:paraId="1D513BC7" w14:textId="77777777" w:rsidR="00256126" w:rsidRDefault="00256126" w:rsidP="00417334">
            <w:r>
              <w:t>(1994 – 2020) – Türkiye İş Bankası A.Ş.- Müdür</w:t>
            </w:r>
          </w:p>
        </w:tc>
        <w:tc>
          <w:tcPr>
            <w:tcW w:w="1274" w:type="dxa"/>
            <w:tcBorders>
              <w:top w:val="single" w:sz="4" w:space="0" w:color="auto"/>
              <w:left w:val="single" w:sz="4" w:space="0" w:color="auto"/>
              <w:bottom w:val="single" w:sz="4" w:space="0" w:color="auto"/>
              <w:right w:val="single" w:sz="4" w:space="0" w:color="auto"/>
            </w:tcBorders>
            <w:hideMark/>
          </w:tcPr>
          <w:p w14:paraId="506EEFE6" w14:textId="77777777" w:rsidR="00256126" w:rsidRDefault="00256126" w:rsidP="00417334">
            <w:r>
              <w:t>26 Yıl</w:t>
            </w:r>
          </w:p>
        </w:tc>
      </w:tr>
      <w:tr w:rsidR="00256126" w14:paraId="11182491" w14:textId="77777777" w:rsidTr="00256126">
        <w:tc>
          <w:tcPr>
            <w:tcW w:w="1482" w:type="dxa"/>
            <w:tcBorders>
              <w:top w:val="single" w:sz="4" w:space="0" w:color="auto"/>
              <w:left w:val="single" w:sz="4" w:space="0" w:color="auto"/>
              <w:bottom w:val="single" w:sz="4" w:space="0" w:color="auto"/>
              <w:right w:val="single" w:sz="4" w:space="0" w:color="auto"/>
            </w:tcBorders>
            <w:hideMark/>
          </w:tcPr>
          <w:p w14:paraId="5FC249A8" w14:textId="77777777" w:rsidR="00256126" w:rsidRDefault="00256126" w:rsidP="00417334">
            <w:r>
              <w:t>Ali Emrah YÜCEL</w:t>
            </w:r>
          </w:p>
        </w:tc>
        <w:tc>
          <w:tcPr>
            <w:tcW w:w="1629" w:type="dxa"/>
            <w:tcBorders>
              <w:top w:val="single" w:sz="4" w:space="0" w:color="auto"/>
              <w:left w:val="single" w:sz="4" w:space="0" w:color="auto"/>
              <w:bottom w:val="single" w:sz="4" w:space="0" w:color="auto"/>
              <w:right w:val="single" w:sz="4" w:space="0" w:color="auto"/>
            </w:tcBorders>
            <w:hideMark/>
          </w:tcPr>
          <w:p w14:paraId="3B908E45" w14:textId="77777777" w:rsidR="00256126" w:rsidRDefault="00256126" w:rsidP="00417334">
            <w:r>
              <w:t>Genel Müdür Yardımcısı</w:t>
            </w:r>
          </w:p>
        </w:tc>
        <w:tc>
          <w:tcPr>
            <w:tcW w:w="4884" w:type="dxa"/>
            <w:tcBorders>
              <w:top w:val="single" w:sz="4" w:space="0" w:color="auto"/>
              <w:left w:val="single" w:sz="4" w:space="0" w:color="auto"/>
              <w:bottom w:val="single" w:sz="4" w:space="0" w:color="auto"/>
              <w:right w:val="single" w:sz="4" w:space="0" w:color="auto"/>
            </w:tcBorders>
            <w:hideMark/>
          </w:tcPr>
          <w:p w14:paraId="33AEB78C" w14:textId="77777777" w:rsidR="00256126" w:rsidRDefault="00256126" w:rsidP="00417334">
            <w:r>
              <w:t>(2022-Devam) – Rota Portföy Yönetimi A.Ş. – Genel Müdür Yardımcısı</w:t>
            </w:r>
          </w:p>
          <w:p w14:paraId="50C43E77" w14:textId="77777777" w:rsidR="00256126" w:rsidRDefault="00256126" w:rsidP="00417334">
            <w:r>
              <w:t xml:space="preserve">(2014-2022) – İş Portföy Yönetimi A.Ş. – Genel Müdür Yardımcısı </w:t>
            </w:r>
          </w:p>
        </w:tc>
        <w:tc>
          <w:tcPr>
            <w:tcW w:w="1274" w:type="dxa"/>
            <w:tcBorders>
              <w:top w:val="single" w:sz="4" w:space="0" w:color="auto"/>
              <w:left w:val="single" w:sz="4" w:space="0" w:color="auto"/>
              <w:bottom w:val="single" w:sz="4" w:space="0" w:color="auto"/>
              <w:right w:val="single" w:sz="4" w:space="0" w:color="auto"/>
            </w:tcBorders>
            <w:hideMark/>
          </w:tcPr>
          <w:p w14:paraId="139D3572" w14:textId="77777777" w:rsidR="00256126" w:rsidRDefault="00256126" w:rsidP="00417334">
            <w:r>
              <w:t>21 Yıl</w:t>
            </w:r>
          </w:p>
        </w:tc>
      </w:tr>
    </w:tbl>
    <w:p w14:paraId="663F9375" w14:textId="77777777" w:rsidR="00746780" w:rsidRPr="00EC42EC" w:rsidRDefault="00746780" w:rsidP="00746780">
      <w:pPr>
        <w:ind w:firstLine="709"/>
      </w:pPr>
    </w:p>
    <w:p w14:paraId="3008E5F8" w14:textId="77777777" w:rsidR="00746780" w:rsidRPr="00EC42EC" w:rsidRDefault="00746780" w:rsidP="00746780">
      <w:pPr>
        <w:ind w:firstLine="708"/>
        <w:rPr>
          <w:b/>
        </w:rPr>
      </w:pPr>
      <w:r w:rsidRPr="00EC42EC">
        <w:rPr>
          <w:b/>
        </w:rPr>
        <w:t>1.4. Fon Hizmet Birimi</w:t>
      </w:r>
    </w:p>
    <w:p w14:paraId="606B153D" w14:textId="77777777" w:rsidR="00746780" w:rsidRPr="00EC42EC" w:rsidRDefault="00746780" w:rsidP="00746780"/>
    <w:p w14:paraId="071A9D34" w14:textId="77777777" w:rsidR="00746780" w:rsidRPr="00EC42EC" w:rsidRDefault="00746780" w:rsidP="00746780">
      <w:pPr>
        <w:ind w:firstLine="708"/>
      </w:pPr>
      <w:r w:rsidRPr="00EC42EC">
        <w:t xml:space="preserve">Fon hizmet birimi </w:t>
      </w:r>
      <w:r>
        <w:t>Oyak Yatırım Menkul Değerler</w:t>
      </w:r>
      <w:r w:rsidRPr="00EC42EC">
        <w:t xml:space="preserve"> A.Ş. nezdinde oluşturulmuş olup, hizmet biriminde görevli </w:t>
      </w:r>
      <w:r>
        <w:t xml:space="preserve">fon müdürüne </w:t>
      </w:r>
      <w:r w:rsidRPr="00EC42EC">
        <w:t>ilişkin bilgiler aşağıdaki gibidir.</w:t>
      </w:r>
    </w:p>
    <w:p w14:paraId="230D97C7" w14:textId="77777777" w:rsidR="00746780" w:rsidRPr="00EC42EC" w:rsidRDefault="00746780" w:rsidP="00746780">
      <w:pPr>
        <w:ind w:left="708"/>
      </w:pPr>
    </w:p>
    <w:tbl>
      <w:tblPr>
        <w:tblStyle w:val="TabloKlavuzu"/>
        <w:tblW w:w="0" w:type="auto"/>
        <w:tblInd w:w="137" w:type="dxa"/>
        <w:tblLook w:val="04A0" w:firstRow="1" w:lastRow="0" w:firstColumn="1" w:lastColumn="0" w:noHBand="0" w:noVBand="1"/>
      </w:tblPr>
      <w:tblGrid>
        <w:gridCol w:w="1959"/>
        <w:gridCol w:w="1400"/>
        <w:gridCol w:w="4624"/>
        <w:gridCol w:w="1230"/>
      </w:tblGrid>
      <w:tr w:rsidR="00746780" w:rsidRPr="00EC42EC" w14:paraId="0FAA8B8B" w14:textId="77777777" w:rsidTr="00383462">
        <w:tc>
          <w:tcPr>
            <w:tcW w:w="1985" w:type="dxa"/>
          </w:tcPr>
          <w:p w14:paraId="5B84767F" w14:textId="77777777" w:rsidR="00746780" w:rsidRPr="00EC42EC" w:rsidRDefault="00746780" w:rsidP="00383462">
            <w:pPr>
              <w:rPr>
                <w:b/>
              </w:rPr>
            </w:pPr>
            <w:r w:rsidRPr="00EC42EC">
              <w:rPr>
                <w:b/>
              </w:rPr>
              <w:t>Adı Soyadı</w:t>
            </w:r>
          </w:p>
        </w:tc>
        <w:tc>
          <w:tcPr>
            <w:tcW w:w="1417" w:type="dxa"/>
          </w:tcPr>
          <w:p w14:paraId="03C2D1BD" w14:textId="77777777" w:rsidR="00746780" w:rsidRPr="00EC42EC" w:rsidRDefault="00746780" w:rsidP="00383462">
            <w:pPr>
              <w:rPr>
                <w:b/>
              </w:rPr>
            </w:pPr>
            <w:r w:rsidRPr="00EC42EC">
              <w:rPr>
                <w:b/>
              </w:rPr>
              <w:t>Görevi</w:t>
            </w:r>
          </w:p>
        </w:tc>
        <w:tc>
          <w:tcPr>
            <w:tcW w:w="4762" w:type="dxa"/>
          </w:tcPr>
          <w:p w14:paraId="63F4ECD7" w14:textId="77777777" w:rsidR="00746780" w:rsidRPr="00EC42EC" w:rsidRDefault="00746780" w:rsidP="00383462">
            <w:pPr>
              <w:rPr>
                <w:b/>
              </w:rPr>
            </w:pPr>
            <w:r w:rsidRPr="00EC42EC">
              <w:rPr>
                <w:b/>
                <w:lang w:eastAsia="en-US"/>
              </w:rPr>
              <w:t>Son 5 Yılda Yaptığı İşler (Yıl-Şirket-Görev)</w:t>
            </w:r>
          </w:p>
        </w:tc>
        <w:tc>
          <w:tcPr>
            <w:tcW w:w="1230" w:type="dxa"/>
          </w:tcPr>
          <w:p w14:paraId="462EE240" w14:textId="77777777" w:rsidR="00746780" w:rsidRPr="00EC42EC" w:rsidRDefault="00746780" w:rsidP="00383462">
            <w:pPr>
              <w:rPr>
                <w:b/>
              </w:rPr>
            </w:pPr>
            <w:r w:rsidRPr="00EC42EC">
              <w:rPr>
                <w:b/>
              </w:rPr>
              <w:t>Tecrübesi</w:t>
            </w:r>
          </w:p>
        </w:tc>
      </w:tr>
      <w:tr w:rsidR="00746780" w:rsidRPr="00EC42EC" w14:paraId="2F6B2EBD" w14:textId="77777777" w:rsidTr="00383462">
        <w:tc>
          <w:tcPr>
            <w:tcW w:w="1985" w:type="dxa"/>
          </w:tcPr>
          <w:p w14:paraId="1CB80241" w14:textId="77777777" w:rsidR="00746780" w:rsidRPr="00EC42EC" w:rsidRDefault="00746780" w:rsidP="00383462">
            <w:r>
              <w:t>Adem DEMİRAL</w:t>
            </w:r>
          </w:p>
        </w:tc>
        <w:tc>
          <w:tcPr>
            <w:tcW w:w="1417" w:type="dxa"/>
          </w:tcPr>
          <w:p w14:paraId="5A3B3846" w14:textId="77777777" w:rsidR="00746780" w:rsidRPr="00EC42EC" w:rsidRDefault="00746780" w:rsidP="00383462">
            <w:r>
              <w:t>Fon Müdürü</w:t>
            </w:r>
          </w:p>
        </w:tc>
        <w:tc>
          <w:tcPr>
            <w:tcW w:w="4762" w:type="dxa"/>
          </w:tcPr>
          <w:p w14:paraId="2CEACC44" w14:textId="77777777" w:rsidR="00746780" w:rsidRPr="00EC42EC" w:rsidRDefault="00DF3AD9" w:rsidP="00383462">
            <w:r>
              <w:t xml:space="preserve">(2002–Devam) </w:t>
            </w:r>
            <w:r w:rsidRPr="00277856">
              <w:t>Oyak Yatırım Menkul Değerler A.Ş.</w:t>
            </w:r>
            <w:r>
              <w:t xml:space="preserve"> Muhasebe Operasyon Müdürü</w:t>
            </w:r>
          </w:p>
        </w:tc>
        <w:tc>
          <w:tcPr>
            <w:tcW w:w="1230" w:type="dxa"/>
          </w:tcPr>
          <w:p w14:paraId="46AB29B0" w14:textId="77777777" w:rsidR="00746780" w:rsidRPr="00EC42EC" w:rsidRDefault="00746780" w:rsidP="00383462">
            <w:r>
              <w:t>23 Yıl</w:t>
            </w:r>
          </w:p>
        </w:tc>
      </w:tr>
    </w:tbl>
    <w:p w14:paraId="63D408AD" w14:textId="77777777" w:rsidR="00311CF1" w:rsidRPr="00EC42EC" w:rsidRDefault="00311CF1" w:rsidP="00746780">
      <w:pPr>
        <w:rPr>
          <w:b/>
        </w:rPr>
      </w:pPr>
    </w:p>
    <w:p w14:paraId="585DB1C2" w14:textId="77777777" w:rsidR="00746780" w:rsidRPr="00EC42EC" w:rsidRDefault="00746780" w:rsidP="00746780">
      <w:pPr>
        <w:ind w:firstLine="708"/>
        <w:rPr>
          <w:b/>
        </w:rPr>
      </w:pPr>
      <w:r w:rsidRPr="00EC42EC">
        <w:rPr>
          <w:b/>
        </w:rPr>
        <w:t>1.5. Portföy Yöneticileri</w:t>
      </w:r>
    </w:p>
    <w:p w14:paraId="1D79424F" w14:textId="77777777" w:rsidR="00746780" w:rsidRPr="00EC42EC" w:rsidRDefault="00746780" w:rsidP="00746780"/>
    <w:p w14:paraId="4FF19A94" w14:textId="77777777" w:rsidR="00746780" w:rsidRPr="00EC42EC" w:rsidRDefault="00746780" w:rsidP="00746780">
      <w:pPr>
        <w:ind w:firstLine="708"/>
      </w:pPr>
      <w:r w:rsidRPr="00EC42EC">
        <w:t>Fon malvarlığının, fonun yatırım stratejisi doğrultusunda, fonun yatırım yapabileceği varlıklar konusunda yeterli bilgi ve sermaye piyasası alanında en az beş yıllık tecrübeye sahip portföy yöneticileri tarafından, yatırımcı lehine ve yatırımcı çıkarını gözetecek şekilde PYŞ Tebliği düzenlemeleri, portföy yönetim sözleşmesi ve ilgili fon bilgilendirme dokümanları çerçevesinde yönetilmesi zorunludur.</w:t>
      </w:r>
    </w:p>
    <w:p w14:paraId="02C3FD5B" w14:textId="77777777" w:rsidR="00746780" w:rsidRPr="00EC42EC" w:rsidRDefault="00746780" w:rsidP="00746780">
      <w:pPr>
        <w:ind w:firstLine="708"/>
      </w:pPr>
    </w:p>
    <w:p w14:paraId="33DB3A84" w14:textId="77777777" w:rsidR="00746780" w:rsidRPr="00EC42EC" w:rsidRDefault="00746780" w:rsidP="00746780">
      <w:pPr>
        <w:tabs>
          <w:tab w:val="left" w:pos="1134"/>
        </w:tabs>
        <w:ind w:firstLine="708"/>
      </w:pPr>
      <w:r w:rsidRPr="00EC42EC">
        <w:t>Fon portföyünün yönetimi için görevlendirilen portföy yöneticilerine ilişkin bilgiler</w:t>
      </w:r>
      <w:r>
        <w:t xml:space="preserve">e </w:t>
      </w:r>
      <w:r w:rsidRPr="00EC42EC">
        <w:t>KAP’ta yer alan sürekli bilgilendirme formundan (</w:t>
      </w:r>
      <w:hyperlink r:id="rId8" w:history="1">
        <w:r w:rsidR="006F7ABD" w:rsidRPr="00AC31DF">
          <w:rPr>
            <w:rStyle w:val="Kpr"/>
          </w:rPr>
          <w:t>www.kap.o</w:t>
        </w:r>
        <w:r w:rsidR="006F7ABD" w:rsidRPr="00C30CBB">
          <w:rPr>
            <w:rStyle w:val="Kpr"/>
          </w:rPr>
          <w:t>rg.tr</w:t>
        </w:r>
      </w:hyperlink>
      <w:r w:rsidRPr="00EC42EC">
        <w:t xml:space="preserve">) ulaşılması mümkündür. </w:t>
      </w:r>
    </w:p>
    <w:p w14:paraId="22AAF4C5" w14:textId="77777777" w:rsidR="00746780" w:rsidRDefault="00746780" w:rsidP="00B34EEF">
      <w:pPr>
        <w:rPr>
          <w:b/>
        </w:rPr>
      </w:pPr>
    </w:p>
    <w:p w14:paraId="137CFC11" w14:textId="77777777" w:rsidR="00746780" w:rsidRPr="00EC42EC" w:rsidRDefault="00746780" w:rsidP="00746780">
      <w:pPr>
        <w:ind w:firstLine="708"/>
        <w:rPr>
          <w:b/>
        </w:rPr>
      </w:pPr>
      <w:r w:rsidRPr="00EC42EC">
        <w:rPr>
          <w:b/>
        </w:rPr>
        <w:t>1.6. Kurucu Bünyesinde Oluşturulan veya Dışarıdan Temin Edilen Sistemler, Birimler ve Fonun</w:t>
      </w:r>
      <w:r>
        <w:rPr>
          <w:b/>
        </w:rPr>
        <w:t xml:space="preserve"> Bağımsız</w:t>
      </w:r>
      <w:r w:rsidRPr="00EC42EC">
        <w:rPr>
          <w:b/>
        </w:rPr>
        <w:t xml:space="preserve"> Denetimini Yapan Kuruluş</w:t>
      </w:r>
    </w:p>
    <w:p w14:paraId="3CDECB21" w14:textId="77777777" w:rsidR="00746780" w:rsidRPr="00EC42EC" w:rsidRDefault="00746780" w:rsidP="00746780">
      <w:pPr>
        <w:pStyle w:val="3-NormalYaz"/>
        <w:rPr>
          <w:b/>
          <w:sz w:val="24"/>
          <w:szCs w:val="24"/>
        </w:rPr>
      </w:pPr>
    </w:p>
    <w:tbl>
      <w:tblPr>
        <w:tblW w:w="8711" w:type="dxa"/>
        <w:tblInd w:w="3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41"/>
        <w:gridCol w:w="5670"/>
      </w:tblGrid>
      <w:tr w:rsidR="00746780" w:rsidRPr="00EC42EC" w14:paraId="2D307C72" w14:textId="77777777" w:rsidTr="00383462">
        <w:tc>
          <w:tcPr>
            <w:tcW w:w="3041" w:type="dxa"/>
            <w:vAlign w:val="center"/>
          </w:tcPr>
          <w:p w14:paraId="4A23783F" w14:textId="77777777" w:rsidR="00746780" w:rsidRPr="00EC42EC" w:rsidRDefault="00746780" w:rsidP="00383462">
            <w:pPr>
              <w:pStyle w:val="3-NormalYaz"/>
              <w:rPr>
                <w:b/>
                <w:sz w:val="24"/>
                <w:szCs w:val="24"/>
              </w:rPr>
            </w:pPr>
            <w:r w:rsidRPr="00EC42EC">
              <w:rPr>
                <w:b/>
                <w:sz w:val="24"/>
                <w:szCs w:val="24"/>
              </w:rPr>
              <w:t>Birim</w:t>
            </w:r>
          </w:p>
        </w:tc>
        <w:tc>
          <w:tcPr>
            <w:tcW w:w="5670" w:type="dxa"/>
          </w:tcPr>
          <w:p w14:paraId="4DC8D8C2" w14:textId="77777777" w:rsidR="00746780" w:rsidRPr="00EC42EC" w:rsidRDefault="00746780" w:rsidP="00383462">
            <w:pPr>
              <w:spacing w:line="360" w:lineRule="auto"/>
              <w:rPr>
                <w:b/>
              </w:rPr>
            </w:pPr>
            <w:r w:rsidRPr="00EC42EC">
              <w:rPr>
                <w:b/>
              </w:rPr>
              <w:t>Birimin/Sistemin Oluşturulduğu Kurum</w:t>
            </w:r>
          </w:p>
        </w:tc>
      </w:tr>
      <w:tr w:rsidR="00746780" w:rsidRPr="00EC42EC" w14:paraId="273E5A7A" w14:textId="77777777" w:rsidTr="00383462">
        <w:tc>
          <w:tcPr>
            <w:tcW w:w="3041" w:type="dxa"/>
            <w:vAlign w:val="center"/>
          </w:tcPr>
          <w:p w14:paraId="3822DF75" w14:textId="77777777" w:rsidR="00746780" w:rsidRPr="00EC42EC" w:rsidRDefault="00746780" w:rsidP="00383462">
            <w:pPr>
              <w:pStyle w:val="3-NormalYaz"/>
              <w:rPr>
                <w:b/>
                <w:sz w:val="24"/>
                <w:szCs w:val="24"/>
              </w:rPr>
            </w:pPr>
            <w:r w:rsidRPr="00EC42EC">
              <w:rPr>
                <w:b/>
                <w:sz w:val="24"/>
                <w:szCs w:val="24"/>
              </w:rPr>
              <w:t>Fon hizmet birimi</w:t>
            </w:r>
          </w:p>
        </w:tc>
        <w:tc>
          <w:tcPr>
            <w:tcW w:w="5670" w:type="dxa"/>
          </w:tcPr>
          <w:p w14:paraId="2CE34E44" w14:textId="77777777" w:rsidR="00746780" w:rsidRPr="00EC42EC" w:rsidRDefault="00746780" w:rsidP="00383462">
            <w:pPr>
              <w:spacing w:line="360" w:lineRule="auto"/>
            </w:pPr>
            <w:r>
              <w:t>Oyak Yatırım Menkul Değerler</w:t>
            </w:r>
            <w:r w:rsidRPr="00EC42EC">
              <w:t xml:space="preserve"> A.Ş</w:t>
            </w:r>
            <w:r>
              <w:t>.</w:t>
            </w:r>
          </w:p>
        </w:tc>
      </w:tr>
      <w:tr w:rsidR="00746780" w:rsidRPr="00EC42EC" w14:paraId="613D55E4" w14:textId="77777777" w:rsidTr="00383462">
        <w:tc>
          <w:tcPr>
            <w:tcW w:w="3041" w:type="dxa"/>
            <w:vAlign w:val="center"/>
          </w:tcPr>
          <w:p w14:paraId="1E21B0A5" w14:textId="77777777" w:rsidR="00746780" w:rsidRPr="00EC42EC" w:rsidRDefault="00746780" w:rsidP="00383462">
            <w:pPr>
              <w:pStyle w:val="3-NormalYaz"/>
              <w:rPr>
                <w:b/>
                <w:sz w:val="24"/>
                <w:szCs w:val="24"/>
              </w:rPr>
            </w:pPr>
            <w:r w:rsidRPr="00EC42EC">
              <w:rPr>
                <w:b/>
                <w:sz w:val="24"/>
                <w:szCs w:val="24"/>
              </w:rPr>
              <w:lastRenderedPageBreak/>
              <w:t>İç kontrol sistemi</w:t>
            </w:r>
          </w:p>
        </w:tc>
        <w:tc>
          <w:tcPr>
            <w:tcW w:w="5670" w:type="dxa"/>
          </w:tcPr>
          <w:p w14:paraId="0D8277DF" w14:textId="77777777" w:rsidR="00746780" w:rsidRPr="00EC42EC" w:rsidRDefault="00746780" w:rsidP="00383462">
            <w:pPr>
              <w:spacing w:line="360" w:lineRule="auto"/>
            </w:pPr>
            <w:r w:rsidRPr="007B10F0">
              <w:t>Rota Portföy Yönetimi A.Ş</w:t>
            </w:r>
            <w:r>
              <w:t>.</w:t>
            </w:r>
          </w:p>
        </w:tc>
      </w:tr>
      <w:tr w:rsidR="00746780" w:rsidRPr="00EC42EC" w14:paraId="2A01994F" w14:textId="77777777" w:rsidTr="00383462">
        <w:tc>
          <w:tcPr>
            <w:tcW w:w="3041" w:type="dxa"/>
            <w:vAlign w:val="center"/>
          </w:tcPr>
          <w:p w14:paraId="0914E84B" w14:textId="77777777" w:rsidR="00746780" w:rsidRPr="00EC42EC" w:rsidRDefault="00746780" w:rsidP="00383462">
            <w:pPr>
              <w:pStyle w:val="3-NormalYaz"/>
              <w:rPr>
                <w:b/>
                <w:sz w:val="24"/>
                <w:szCs w:val="24"/>
              </w:rPr>
            </w:pPr>
            <w:r w:rsidRPr="00EC42EC">
              <w:rPr>
                <w:b/>
                <w:sz w:val="24"/>
                <w:szCs w:val="24"/>
              </w:rPr>
              <w:t>Risk Yönetim sistemi</w:t>
            </w:r>
          </w:p>
        </w:tc>
        <w:tc>
          <w:tcPr>
            <w:tcW w:w="5670" w:type="dxa"/>
          </w:tcPr>
          <w:p w14:paraId="02203E45" w14:textId="2C47F03E" w:rsidR="00746780" w:rsidRPr="00EC42EC" w:rsidRDefault="00535A6E" w:rsidP="00383462">
            <w:pPr>
              <w:spacing w:line="360" w:lineRule="auto"/>
            </w:pPr>
            <w:r>
              <w:t>Rota Portföy Yönetimi</w:t>
            </w:r>
            <w:r w:rsidR="00746780">
              <w:t xml:space="preserve"> A.Ş.</w:t>
            </w:r>
          </w:p>
        </w:tc>
      </w:tr>
      <w:tr w:rsidR="00746780" w:rsidRPr="00EC42EC" w14:paraId="0D05C657" w14:textId="77777777" w:rsidTr="00383462">
        <w:tc>
          <w:tcPr>
            <w:tcW w:w="3041" w:type="dxa"/>
            <w:vAlign w:val="center"/>
          </w:tcPr>
          <w:p w14:paraId="1A63470B" w14:textId="77777777" w:rsidR="00746780" w:rsidRPr="00EC42EC" w:rsidRDefault="00746780" w:rsidP="00383462">
            <w:pPr>
              <w:pStyle w:val="3-NormalYaz"/>
              <w:rPr>
                <w:b/>
                <w:sz w:val="24"/>
                <w:szCs w:val="24"/>
              </w:rPr>
            </w:pPr>
            <w:r w:rsidRPr="00EC42EC">
              <w:rPr>
                <w:b/>
                <w:sz w:val="24"/>
                <w:szCs w:val="24"/>
              </w:rPr>
              <w:t>Teftiş birimi</w:t>
            </w:r>
          </w:p>
        </w:tc>
        <w:tc>
          <w:tcPr>
            <w:tcW w:w="5670" w:type="dxa"/>
          </w:tcPr>
          <w:p w14:paraId="6DA92538" w14:textId="77777777" w:rsidR="00746780" w:rsidRPr="00EC42EC" w:rsidRDefault="00746780" w:rsidP="00383462">
            <w:pPr>
              <w:spacing w:line="360" w:lineRule="auto"/>
            </w:pPr>
            <w:r w:rsidRPr="007B10F0">
              <w:t>Rota Portföy Yönetimi A.Ş</w:t>
            </w:r>
            <w:r>
              <w:t>.</w:t>
            </w:r>
          </w:p>
        </w:tc>
      </w:tr>
      <w:tr w:rsidR="00746780" w:rsidRPr="00EC42EC" w14:paraId="1B002E2D" w14:textId="77777777" w:rsidTr="00383462">
        <w:trPr>
          <w:trHeight w:val="281"/>
        </w:trPr>
        <w:tc>
          <w:tcPr>
            <w:tcW w:w="3041" w:type="dxa"/>
            <w:vAlign w:val="center"/>
          </w:tcPr>
          <w:p w14:paraId="3196A7C9" w14:textId="77777777" w:rsidR="00746780" w:rsidRPr="00EC42EC" w:rsidRDefault="00746780" w:rsidP="00383462">
            <w:pPr>
              <w:pStyle w:val="3-NormalYaz"/>
              <w:rPr>
                <w:b/>
                <w:sz w:val="24"/>
                <w:szCs w:val="24"/>
              </w:rPr>
            </w:pPr>
            <w:r w:rsidRPr="00EC42EC">
              <w:rPr>
                <w:b/>
                <w:sz w:val="24"/>
                <w:szCs w:val="24"/>
              </w:rPr>
              <w:t>Araştırma birimi</w:t>
            </w:r>
          </w:p>
        </w:tc>
        <w:tc>
          <w:tcPr>
            <w:tcW w:w="5670" w:type="dxa"/>
          </w:tcPr>
          <w:p w14:paraId="7BAF9BFD" w14:textId="77777777" w:rsidR="00746780" w:rsidRPr="00EC42EC" w:rsidRDefault="00746780" w:rsidP="00383462">
            <w:pPr>
              <w:spacing w:line="360" w:lineRule="auto"/>
            </w:pPr>
            <w:r w:rsidRPr="007B10F0">
              <w:t>Rota Portföy Yönetimi A.Ş</w:t>
            </w:r>
            <w:r>
              <w:t>.</w:t>
            </w:r>
          </w:p>
        </w:tc>
      </w:tr>
    </w:tbl>
    <w:p w14:paraId="70F83229" w14:textId="77777777" w:rsidR="00746780" w:rsidRPr="00EC42EC" w:rsidRDefault="00746780" w:rsidP="00746780">
      <w:pPr>
        <w:rPr>
          <w:b/>
          <w:lang w:eastAsia="en-US"/>
        </w:rPr>
      </w:pPr>
    </w:p>
    <w:p w14:paraId="7CA94979" w14:textId="49A89BDF" w:rsidR="00746780" w:rsidRPr="00030BDD" w:rsidRDefault="00746780" w:rsidP="00746780">
      <w:pPr>
        <w:pStyle w:val="3-NormalYaz"/>
        <w:ind w:firstLine="567"/>
        <w:rPr>
          <w:rFonts w:eastAsia="Times New Roman"/>
          <w:sz w:val="24"/>
          <w:szCs w:val="24"/>
        </w:rPr>
      </w:pPr>
      <w:r w:rsidRPr="00030BDD">
        <w:rPr>
          <w:rFonts w:eastAsia="Times New Roman"/>
          <w:sz w:val="24"/>
          <w:szCs w:val="24"/>
        </w:rPr>
        <w:t>Fon’un</w:t>
      </w:r>
      <w:r>
        <w:rPr>
          <w:rFonts w:eastAsia="Times New Roman"/>
          <w:sz w:val="24"/>
          <w:szCs w:val="24"/>
        </w:rPr>
        <w:t xml:space="preserve"> finansal raporlarının </w:t>
      </w:r>
      <w:r w:rsidRPr="00030BDD">
        <w:rPr>
          <w:rFonts w:eastAsia="Times New Roman"/>
          <w:sz w:val="24"/>
          <w:szCs w:val="24"/>
        </w:rPr>
        <w:t xml:space="preserve">bağımsız denetimi </w:t>
      </w:r>
      <w:bookmarkStart w:id="6" w:name="_Hlk98335040"/>
      <w:r w:rsidR="00535A6E" w:rsidRPr="00535A6E">
        <w:rPr>
          <w:sz w:val="24"/>
          <w:szCs w:val="24"/>
        </w:rPr>
        <w:t xml:space="preserve">Yeditepe Bağımsız Denetim ve YMM A.Ş. </w:t>
      </w:r>
      <w:bookmarkEnd w:id="6"/>
      <w:r w:rsidRPr="00030BDD">
        <w:rPr>
          <w:rFonts w:eastAsia="Times New Roman"/>
          <w:sz w:val="24"/>
          <w:szCs w:val="24"/>
        </w:rPr>
        <w:t xml:space="preserve"> tarafından yapılmaktadır. </w:t>
      </w:r>
    </w:p>
    <w:p w14:paraId="0574AD75" w14:textId="77777777" w:rsidR="00746780" w:rsidRPr="00EC42EC" w:rsidRDefault="00746780" w:rsidP="00746780">
      <w:pPr>
        <w:pStyle w:val="3-NormalYaz"/>
        <w:ind w:firstLine="567"/>
        <w:rPr>
          <w:b/>
          <w:color w:val="0000FF"/>
          <w:sz w:val="24"/>
          <w:szCs w:val="24"/>
        </w:rPr>
      </w:pPr>
    </w:p>
    <w:p w14:paraId="4A284253" w14:textId="77777777" w:rsidR="00746780" w:rsidRPr="00EC42EC" w:rsidRDefault="00746780" w:rsidP="00746780">
      <w:pPr>
        <w:pStyle w:val="Balk2"/>
        <w:ind w:firstLine="709"/>
        <w:rPr>
          <w:rFonts w:cs="Times New Roman"/>
          <w:sz w:val="24"/>
          <w:szCs w:val="24"/>
        </w:rPr>
      </w:pPr>
      <w:bookmarkStart w:id="7" w:name="_Toc94788079"/>
      <w:bookmarkStart w:id="8" w:name="_Toc94793565"/>
      <w:r w:rsidRPr="00EC42EC">
        <w:rPr>
          <w:rFonts w:cs="Times New Roman"/>
          <w:sz w:val="24"/>
          <w:szCs w:val="24"/>
        </w:rPr>
        <w:t>II. FON PORTFÖYÜNÜN YÖNETİMİ, YATIRIM STRATEJİSİ İLE FON PORTFÖY SINIRLAMALARI</w:t>
      </w:r>
      <w:bookmarkEnd w:id="7"/>
      <w:bookmarkEnd w:id="8"/>
    </w:p>
    <w:p w14:paraId="05854173" w14:textId="77777777" w:rsidR="00746780" w:rsidRPr="00EC42EC" w:rsidRDefault="00746780" w:rsidP="00746780">
      <w:pPr>
        <w:ind w:firstLine="709"/>
      </w:pPr>
    </w:p>
    <w:p w14:paraId="642C7D57" w14:textId="77777777" w:rsidR="00746780" w:rsidRPr="00EC42EC" w:rsidRDefault="00746780" w:rsidP="00746780">
      <w:pPr>
        <w:pStyle w:val="ListeParagraf"/>
        <w:tabs>
          <w:tab w:val="left" w:pos="426"/>
        </w:tabs>
        <w:ind w:left="0" w:firstLine="709"/>
        <w:contextualSpacing/>
      </w:pPr>
    </w:p>
    <w:p w14:paraId="19D16506" w14:textId="77777777" w:rsidR="00746780" w:rsidRPr="00EC42EC" w:rsidRDefault="00746780" w:rsidP="00746780">
      <w:pPr>
        <w:pStyle w:val="ListeParagraf"/>
        <w:tabs>
          <w:tab w:val="left" w:pos="426"/>
        </w:tabs>
        <w:ind w:left="0" w:firstLine="709"/>
        <w:contextualSpacing/>
      </w:pPr>
      <w:r w:rsidRPr="00EC42EC">
        <w:rPr>
          <w:b/>
        </w:rPr>
        <w:t xml:space="preserve">2.1. </w:t>
      </w:r>
      <w:r w:rsidRPr="00EC42EC">
        <w:t>Kurucu, fonun katılma payı sahiplerinin haklarını koruyacak şekilde temsili, yönetimi, yönetiminin denetlenmesi ile faaliyetlerinin içtüzük ve izahname hükümlerine uygun olarak yürütülmesinden sorumludur. Kurucu fona ait varlıklar üzerinde kendi adına ve fon hesabına mevzuat ve içtüzüğe uygun olarak tasarrufta bulunmaya ve bundan doğan hakları kullanmaya yetkilidir. Fonun faaliyetlerinin yürütülmesi esnasında portföy yöneticiliği hizmeti de dahil olmak üzere dışarıdan hizmet alınması, Kurucunun sorumluluğunu ortadan kaldırmaz.</w:t>
      </w:r>
    </w:p>
    <w:p w14:paraId="111D58AC" w14:textId="77777777" w:rsidR="00746780" w:rsidRPr="00EC42EC" w:rsidRDefault="00746780" w:rsidP="0069212B">
      <w:pPr>
        <w:pStyle w:val="ListeParagraf"/>
        <w:tabs>
          <w:tab w:val="left" w:pos="426"/>
        </w:tabs>
        <w:ind w:left="0"/>
        <w:contextualSpacing/>
        <w:rPr>
          <w:b/>
        </w:rPr>
      </w:pPr>
    </w:p>
    <w:p w14:paraId="2DDF6885" w14:textId="77777777" w:rsidR="00746780" w:rsidRPr="00EC42EC" w:rsidRDefault="00746780" w:rsidP="00746780">
      <w:pPr>
        <w:pStyle w:val="ListeParagraf"/>
        <w:tabs>
          <w:tab w:val="left" w:pos="426"/>
        </w:tabs>
        <w:ind w:left="0" w:firstLine="709"/>
        <w:contextualSpacing/>
        <w:rPr>
          <w:b/>
        </w:rPr>
      </w:pPr>
      <w:r w:rsidRPr="00EC42EC">
        <w:rPr>
          <w:b/>
        </w:rPr>
        <w:t xml:space="preserve">2.2. </w:t>
      </w:r>
      <w:r w:rsidRPr="00EC42EC">
        <w:t>Fon portföyü, kolektif portföy yöneticiliğine ilişkin PYŞ Tebliği’nde</w:t>
      </w:r>
      <w:r>
        <w:t xml:space="preserve"> </w:t>
      </w:r>
      <w:r w:rsidRPr="00EC42EC">
        <w:t>belirtilen ilkeler ve fon portföyüne dahil edilebilecek varlık ve haklara ilişkin Tebliğ’de yer alan sınırlamalar çerçevesinde yönetilir.</w:t>
      </w:r>
    </w:p>
    <w:p w14:paraId="6EB98C55" w14:textId="77777777" w:rsidR="00746780" w:rsidRPr="00B836E9" w:rsidRDefault="00746780" w:rsidP="00B836E9">
      <w:pPr>
        <w:tabs>
          <w:tab w:val="left" w:pos="426"/>
        </w:tabs>
        <w:contextualSpacing/>
        <w:rPr>
          <w:b/>
        </w:rPr>
      </w:pPr>
    </w:p>
    <w:p w14:paraId="3AC1877D" w14:textId="1EE0182E" w:rsidR="00F4044A" w:rsidRDefault="00746780" w:rsidP="0069212B">
      <w:pPr>
        <w:pStyle w:val="ListeParagraf"/>
        <w:tabs>
          <w:tab w:val="left" w:pos="426"/>
        </w:tabs>
        <w:ind w:left="0"/>
        <w:contextualSpacing/>
      </w:pPr>
      <w:r>
        <w:rPr>
          <w:b/>
        </w:rPr>
        <w:tab/>
      </w:r>
      <w:r w:rsidR="0069212B">
        <w:rPr>
          <w:b/>
        </w:rPr>
        <w:tab/>
      </w:r>
      <w:r w:rsidRPr="006601B7">
        <w:rPr>
          <w:b/>
        </w:rPr>
        <w:t>2.3.</w:t>
      </w:r>
      <w:r w:rsidRPr="006601B7">
        <w:t xml:space="preserve"> </w:t>
      </w:r>
      <w:r w:rsidR="00F4044A" w:rsidRPr="00F4044A">
        <w:t>Fon, Tebliğ’in ilgili hükümleri çerçevesinde katılma payları sadece nitelikli yatırımcılara satılacak serbest fon statüsündedir.</w:t>
      </w:r>
    </w:p>
    <w:p w14:paraId="2C6C00CA" w14:textId="77777777" w:rsidR="00F4044A" w:rsidRDefault="00F4044A" w:rsidP="0069212B">
      <w:pPr>
        <w:pStyle w:val="ListeParagraf"/>
        <w:tabs>
          <w:tab w:val="left" w:pos="426"/>
        </w:tabs>
        <w:ind w:left="0"/>
        <w:contextualSpacing/>
      </w:pPr>
    </w:p>
    <w:p w14:paraId="22C52BEF" w14:textId="38B9AD36" w:rsidR="00AC31DF" w:rsidRDefault="00F4044A" w:rsidP="0069212B">
      <w:pPr>
        <w:pStyle w:val="ListeParagraf"/>
        <w:tabs>
          <w:tab w:val="left" w:pos="426"/>
        </w:tabs>
        <w:ind w:left="0"/>
        <w:contextualSpacing/>
      </w:pPr>
      <w:r>
        <w:tab/>
      </w:r>
      <w:r w:rsidR="0069212B">
        <w:t>Fon portföyünün yönetiminde ve yatırım yapılacak sermaye piyasası araçlarının seçiminde, Tebliğ'in 4. maddesinde belirtilen varlık ve işlemlerin, yabancı para birimi cinsinden varlık ve altın ile diğer kıymetli madenler ve bunlara dayalı sermaye piyasası araçları dışındakiler ile 6. maddesinde tanımlanan fon türlerinden serbest şemsiye fon niteliğine uygun bir portföy oluşturulması esas alınır. Fon, Tebliğ'in 25. maddesinde yer alan serbest fonlara dair esaslara uyulur.</w:t>
      </w:r>
    </w:p>
    <w:p w14:paraId="61302054" w14:textId="77777777" w:rsidR="00C521DE" w:rsidRDefault="00C521DE" w:rsidP="002A4734">
      <w:pPr>
        <w:pStyle w:val="ListeParagraf"/>
        <w:tabs>
          <w:tab w:val="left" w:pos="426"/>
        </w:tabs>
        <w:ind w:left="0"/>
        <w:contextualSpacing/>
      </w:pPr>
    </w:p>
    <w:p w14:paraId="240E996E" w14:textId="6AE5D183" w:rsidR="00746780" w:rsidRDefault="00C521DE" w:rsidP="00746780">
      <w:pPr>
        <w:pStyle w:val="ListeParagraf"/>
        <w:tabs>
          <w:tab w:val="left" w:pos="426"/>
        </w:tabs>
        <w:ind w:left="0"/>
        <w:contextualSpacing/>
      </w:pPr>
      <w:r>
        <w:tab/>
      </w:r>
      <w:r>
        <w:tab/>
      </w:r>
      <w:r w:rsidR="000E16BB" w:rsidRPr="000E16BB">
        <w:t>Fon toplam değerinin en az %80’i devamlı olarak yerli ihraççıların ortaklık paylarına ve bu paylardan oluşan endeksleri takip etmek üzere kurulan yerli borsa yatırım fonları katılma paylarına yatırılır. Hisse senedi yoğun fonların portföylerinde yer alan ihraççı paylarına ve pay endekslerine dayalı olarak yapılan vadeli işlem sözleşmelerinin nakit teminatları, ihraççı paylarına ve pay endekslerine dayalı opsiyon sözleşmelerinin primleri, borsada işlem gören ihraççı paylarına ve pay endekslerine dayalı aracı kuruluş varantları ve ihraççı paylarından oluşan endeksleri 27/11/2013 tarihli ve 28834 sayılı Resmî Gazete’de yayımlanan Borsa Yatırım Fonlarına İlişkin Esaslar Tebliği (III-52.2)’nin 5 inci maddesinin dördüncü fıkrasının (a) bendi kapsamında takip etmek üzere kurulan borsa yatırım fonları katılma payları %80’lik oranın hesaplanmasına dahil edilir.</w:t>
      </w:r>
    </w:p>
    <w:p w14:paraId="4BEFA2A2" w14:textId="77777777" w:rsidR="00C521DE" w:rsidRDefault="00C521DE" w:rsidP="00746780">
      <w:pPr>
        <w:pStyle w:val="ListeParagraf"/>
        <w:tabs>
          <w:tab w:val="left" w:pos="426"/>
        </w:tabs>
        <w:ind w:left="0"/>
        <w:contextualSpacing/>
      </w:pPr>
    </w:p>
    <w:p w14:paraId="5F20C603" w14:textId="193ACB74" w:rsidR="00746780" w:rsidRPr="00AC31DF" w:rsidRDefault="00746780" w:rsidP="00AC31DF">
      <w:pPr>
        <w:pStyle w:val="ListeParagraf"/>
        <w:tabs>
          <w:tab w:val="left" w:pos="426"/>
        </w:tabs>
        <w:ind w:left="0"/>
        <w:contextualSpacing/>
      </w:pPr>
      <w:r>
        <w:lastRenderedPageBreak/>
        <w:tab/>
      </w:r>
      <w:r>
        <w:tab/>
      </w:r>
      <w:bookmarkStart w:id="9" w:name="_Hlk98427398"/>
      <w:r>
        <w:t>Fon portföyün</w:t>
      </w:r>
      <w:r w:rsidR="00630A71">
        <w:t>de</w:t>
      </w:r>
      <w:r>
        <w:t xml:space="preserve"> yalnızca Türk lirası cinsinden varlıklar ve işlemler yer alacaktır. </w:t>
      </w:r>
      <w:r w:rsidRPr="00522821">
        <w:t xml:space="preserve">Fon portföyünde </w:t>
      </w:r>
      <w:bookmarkStart w:id="10" w:name="_Hlk97403517"/>
      <w:r w:rsidRPr="00522821">
        <w:t>yabancı para birimi cinsinden varlık ve altın ile diğer kıymetli madenler ve bunlara dayalı sermaye piyasası araçları</w:t>
      </w:r>
      <w:bookmarkEnd w:id="10"/>
      <w:r w:rsidRPr="00522821">
        <w:t xml:space="preserve"> bulunmayacaktır. </w:t>
      </w:r>
      <w:r>
        <w:t xml:space="preserve"> </w:t>
      </w:r>
      <w:bookmarkEnd w:id="9"/>
      <w:r w:rsidR="00AC31DF" w:rsidRPr="00AC31DF">
        <w:t>Ayrıca, fon portföyünde yabancı para birimi cinsinden varlık ve altın ile diğer kıymetli madenler ve bunlara dayalı sermaye piyasası araçlarına yönelik organize ve tezgahüstü türev araçlara yer verilmeyecektir.</w:t>
      </w:r>
    </w:p>
    <w:p w14:paraId="58151432" w14:textId="437D7BFF" w:rsidR="00746780" w:rsidRDefault="00746780" w:rsidP="006601B7">
      <w:pPr>
        <w:pStyle w:val="ListeParagraf"/>
        <w:tabs>
          <w:tab w:val="left" w:pos="426"/>
        </w:tabs>
        <w:ind w:left="0"/>
        <w:contextualSpacing/>
      </w:pPr>
    </w:p>
    <w:p w14:paraId="3BB4B4F4" w14:textId="77777777" w:rsidR="00746780" w:rsidRDefault="00746780" w:rsidP="00746780">
      <w:pPr>
        <w:pStyle w:val="ListeParagraf"/>
        <w:tabs>
          <w:tab w:val="left" w:pos="426"/>
        </w:tabs>
        <w:ind w:left="0" w:firstLine="709"/>
        <w:contextualSpacing/>
      </w:pPr>
      <w:bookmarkStart w:id="11" w:name="_Hlk98427438"/>
      <w:r>
        <w:t>Fon’un likidite veya vade açısından bir yönetim kısıtlaması yoktur. Fon yatırım öngörüsü doğrultusunda sermaye piyasası araçlarına, Kurulca uygun görülen diğer yatırım araçlarına, taraf olunacak sözleşmelere, finansal işlemlere ve menkul kıymetlere yatırım yaparak sermaye kazancı sağlamak ve portföy değerini artırmayı amaçlamaktadır.</w:t>
      </w:r>
    </w:p>
    <w:bookmarkEnd w:id="11"/>
    <w:p w14:paraId="1E8ED8F9" w14:textId="77777777" w:rsidR="00746780" w:rsidRDefault="00746780" w:rsidP="00746780">
      <w:pPr>
        <w:pStyle w:val="ListeParagraf"/>
        <w:tabs>
          <w:tab w:val="left" w:pos="426"/>
        </w:tabs>
        <w:ind w:left="0" w:firstLine="709"/>
        <w:contextualSpacing/>
      </w:pPr>
    </w:p>
    <w:p w14:paraId="6926843F" w14:textId="4FCBE7A3" w:rsidR="00746780" w:rsidRDefault="00746780" w:rsidP="00746780">
      <w:pPr>
        <w:pStyle w:val="ListeParagraf"/>
        <w:tabs>
          <w:tab w:val="left" w:pos="426"/>
        </w:tabs>
        <w:ind w:left="0" w:firstLine="720"/>
        <w:contextualSpacing/>
      </w:pPr>
      <w:r>
        <w:t>Fon portföyün</w:t>
      </w:r>
      <w:r w:rsidR="00630A71">
        <w:t xml:space="preserve">e; </w:t>
      </w:r>
      <w:r w:rsidR="00630A71" w:rsidRPr="00630A71">
        <w:t>BİAŞ’ta işlem gören ihraççı payları, ihraççı payları</w:t>
      </w:r>
      <w:r w:rsidR="00DC315C">
        <w:t>na</w:t>
      </w:r>
      <w:r w:rsidR="00630A71" w:rsidRPr="00630A71">
        <w:t xml:space="preserve"> ve ihraççı pay endekslerine dayalı olarak yapılan vadeli işlem sözleşmelerinin nakit teminatları, ihraççı paylarına ve pay endekslerine dayalı opsiyon sözleşmelerinin primleri ile borsada işlem gören ihraççı paylarına ve pay endekslerine dayalı aracı kuruluş varantları</w:t>
      </w:r>
      <w:r w:rsidR="00630A71">
        <w:t xml:space="preserve"> dışında</w:t>
      </w:r>
      <w:r w:rsidR="00630A71" w:rsidRPr="00630A71">
        <w:t xml:space="preserve"> </w:t>
      </w:r>
      <w:r>
        <w:t xml:space="preserve">yapılacak </w:t>
      </w:r>
      <w:r w:rsidR="0013597C" w:rsidRPr="0013597C">
        <w:t xml:space="preserve">işlemler </w:t>
      </w:r>
      <w:r>
        <w:t xml:space="preserve">ve alınacak </w:t>
      </w:r>
      <w:r w:rsidR="0013597C">
        <w:t xml:space="preserve">varlıklar </w:t>
      </w:r>
      <w:r>
        <w:t xml:space="preserve">olarak yalnızca TL olması koşuluyla; Sermaye Piyasası Kurulu tarafından teminat olarak kabul edilen varlıklara dayalı olan repo ve ters repo işlemleri (menkul kıymet tercihli ve pay senedi repo/ters repo işlemleri dahil), Takasbank Para Piyasası ve/veya yurtiçi organize para piyasası işlemleri, devlet iç borçlanma senetleri, Türkiye’de mukim şirketler tarafından ihraç edilen özel sektör menkul kıymetleri (ortaklık payları ve borçlanma araçları), mevduat/katılma hesapları, kredi riskine dayalı yatırım araçları(CLN), kamu ve/veya özel sektör tarafından ihraç edilen kira sertifikaları ile ipoteğe ve/veya varlığa dayalı menkul kıymetler ve/veya ipotek ve/veya varlık teminatlı menkul kıymetler, yurtdışı ihraççıların çıkarmış olduğu TL cinsi menkul kıymetler, varantlar, sertifikalar ve söz konusu varlıklara ve/veya söz konusu varlıklar üzerinden oluşturulan endekslere dayalı swap işlemleri/sözleşmeleri dahil türev araçlar, yapılandırılmış yatırım araçları ile yurtiçinde kurulmuş </w:t>
      </w:r>
      <w:r w:rsidR="00AC31DF" w:rsidRPr="00AC31DF">
        <w:t>girişim sermayesi yatırım fonları ile unvanında TL ibaresi bulunan yatırım fonları, borsa yatırım fonları, gayrimenkul yatırım fonları ve hisse senedi yoğun fon, para piyasası fonu, kısa vadeli borçlanma araçları ve kısa vadeli kira sertifikaları fonu katılma payları ile her türlü yatırım ortaklığı paylarına yatırım yapılabilir. Ayrıca, fon portföyünde, sözü geçen tüm varlıklara ve/veya bu varlıklar üzerinden oluşturulan endekslere yönelik organize ve/veya tezgahüstü türev araçlara da</w:t>
      </w:r>
      <w:r w:rsidR="00AC31DF">
        <w:t xml:space="preserve"> </w:t>
      </w:r>
      <w:r>
        <w:t xml:space="preserve">yer verilebilecektir. Şu kadar ki, türev işlemlerinin </w:t>
      </w:r>
      <w:bookmarkStart w:id="12" w:name="_Hlk97404581"/>
      <w:r>
        <w:t xml:space="preserve">hiçbir tarafı yabancı para birimi cinsinden </w:t>
      </w:r>
      <w:r w:rsidRPr="002C70DA">
        <w:t>varlık ve altın ile diğer kıymetli madenler ve bunlara dayalı sermaye piyasası araçları</w:t>
      </w:r>
      <w:r>
        <w:t>ndan oluşturulamaz.</w:t>
      </w:r>
      <w:bookmarkEnd w:id="12"/>
    </w:p>
    <w:p w14:paraId="05AC6325" w14:textId="77777777" w:rsidR="00746780" w:rsidRDefault="00746780" w:rsidP="00746780">
      <w:pPr>
        <w:pStyle w:val="ListeParagraf"/>
        <w:tabs>
          <w:tab w:val="left" w:pos="426"/>
        </w:tabs>
        <w:ind w:left="0" w:firstLine="720"/>
        <w:contextualSpacing/>
      </w:pPr>
    </w:p>
    <w:p w14:paraId="41643864" w14:textId="77777777" w:rsidR="00746780" w:rsidRDefault="00746780" w:rsidP="00746780">
      <w:pPr>
        <w:pStyle w:val="ListeParagraf"/>
        <w:tabs>
          <w:tab w:val="left" w:pos="426"/>
        </w:tabs>
        <w:ind w:left="0" w:firstLine="720"/>
        <w:contextualSpacing/>
      </w:pPr>
      <w:r>
        <w:t>Fon borsa dışı repo/ters repo işlemleri gerçekleştirebilecektir.</w:t>
      </w:r>
    </w:p>
    <w:p w14:paraId="3CD425C7" w14:textId="77777777" w:rsidR="00311CF1" w:rsidRDefault="00311CF1" w:rsidP="00746780">
      <w:pPr>
        <w:pStyle w:val="ListeParagraf"/>
        <w:tabs>
          <w:tab w:val="left" w:pos="426"/>
        </w:tabs>
        <w:ind w:left="0" w:firstLine="720"/>
        <w:contextualSpacing/>
      </w:pPr>
    </w:p>
    <w:p w14:paraId="31BA07C7" w14:textId="77777777" w:rsidR="00746780" w:rsidRDefault="00746780" w:rsidP="00746780">
      <w:pPr>
        <w:pStyle w:val="ListeParagraf"/>
        <w:tabs>
          <w:tab w:val="left" w:pos="426"/>
        </w:tabs>
        <w:ind w:left="0" w:firstLine="720"/>
        <w:contextualSpacing/>
      </w:pPr>
      <w:r>
        <w:t xml:space="preserve">Fon yatırım stratejisini uygularken, kredi alabilir, repo (Menkul kıymet tercihli ve pay senedi repo işlemleri dahil), para piyasası işlemleri ve diğer işlemler aracılığıyla borçlanma gerçekleştirebilir. Fon portföyünde bulunan tüm hisse senetleri ödünç işlemine konu edilebilecektir. Fon serbest fon niteliğinde olmasından dolayı ödünç menkul işlemlerine dair Tebliğ’in 22.Maddesi’ndeki sınırlamalara tabi değildir. Ödünç işlemlere dair uygulanacak esaslar ise Yatırım Fonlarına İlişkin Rehber’in 4.2.5. Maddesi’nde belirtilmiştir. </w:t>
      </w:r>
    </w:p>
    <w:p w14:paraId="48C937E2" w14:textId="77777777" w:rsidR="00311CF1" w:rsidRDefault="00311CF1" w:rsidP="00746780">
      <w:pPr>
        <w:pStyle w:val="ListeParagraf"/>
        <w:tabs>
          <w:tab w:val="left" w:pos="426"/>
        </w:tabs>
        <w:ind w:left="0" w:firstLine="720"/>
        <w:contextualSpacing/>
      </w:pPr>
    </w:p>
    <w:p w14:paraId="6A71A3BA" w14:textId="77777777" w:rsidR="00746780" w:rsidRDefault="00746780" w:rsidP="00746780">
      <w:pPr>
        <w:pStyle w:val="ListeParagraf"/>
        <w:tabs>
          <w:tab w:val="left" w:pos="426"/>
        </w:tabs>
        <w:ind w:left="0" w:firstLine="720"/>
        <w:contextualSpacing/>
      </w:pPr>
      <w:r>
        <w:t>Fon sadece yapılan işlemlerle ilgili olması kaydıyla yatırım yaptığı para ve sermaye piyasası ya da diğer finansal varlıkları teminat olarak gösterebilir.</w:t>
      </w:r>
    </w:p>
    <w:p w14:paraId="69516925" w14:textId="77777777" w:rsidR="00746780" w:rsidRDefault="00746780" w:rsidP="00FF6157">
      <w:pPr>
        <w:tabs>
          <w:tab w:val="left" w:pos="426"/>
        </w:tabs>
        <w:contextualSpacing/>
      </w:pPr>
    </w:p>
    <w:p w14:paraId="733B948B" w14:textId="77777777" w:rsidR="00746780" w:rsidRPr="00EC42EC" w:rsidRDefault="00746780" w:rsidP="00746780">
      <w:pPr>
        <w:pStyle w:val="3-NormalYaz"/>
        <w:ind w:firstLine="709"/>
        <w:rPr>
          <w:rFonts w:eastAsia="Times New Roman"/>
          <w:sz w:val="24"/>
          <w:szCs w:val="24"/>
        </w:rPr>
      </w:pPr>
      <w:r w:rsidRPr="00EC42EC">
        <w:rPr>
          <w:b/>
          <w:sz w:val="24"/>
          <w:szCs w:val="24"/>
        </w:rPr>
        <w:lastRenderedPageBreak/>
        <w:t>2.4.</w:t>
      </w:r>
      <w:r w:rsidRPr="00EC42EC">
        <w:rPr>
          <w:sz w:val="24"/>
          <w:szCs w:val="24"/>
        </w:rPr>
        <w:t xml:space="preserve"> Yönetici tarafından, </w:t>
      </w:r>
      <w:r w:rsidRPr="002851A6">
        <w:rPr>
          <w:sz w:val="24"/>
          <w:szCs w:val="24"/>
        </w:rPr>
        <w:t xml:space="preserve">fon portföyünde yer alabilecek varlık ve işlemlere dair azami </w:t>
      </w:r>
      <w:r>
        <w:rPr>
          <w:sz w:val="24"/>
          <w:szCs w:val="24"/>
        </w:rPr>
        <w:t xml:space="preserve">2.3 maddesi çerçevesinde olmak kaydıyla </w:t>
      </w:r>
      <w:r w:rsidRPr="002851A6">
        <w:rPr>
          <w:sz w:val="24"/>
          <w:szCs w:val="24"/>
        </w:rPr>
        <w:t xml:space="preserve">bir sınırlama getirilmemiş olup, </w:t>
      </w:r>
      <w:r w:rsidRPr="000D1B4C">
        <w:rPr>
          <w:sz w:val="24"/>
          <w:szCs w:val="24"/>
        </w:rPr>
        <w:t>yabancı para birimi cinsinden varlık ve altın ile diğer kıymetli madenler ve bunlara dayalı sermaye piyasası araçları</w:t>
      </w:r>
      <w:r>
        <w:rPr>
          <w:sz w:val="24"/>
          <w:szCs w:val="24"/>
        </w:rPr>
        <w:t xml:space="preserve"> fon portföyüne dahil edilmeyecektir.</w:t>
      </w:r>
    </w:p>
    <w:p w14:paraId="4FBE8C1C" w14:textId="77777777" w:rsidR="00746780" w:rsidRPr="00EC42EC" w:rsidRDefault="00746780" w:rsidP="00746780">
      <w:pPr>
        <w:ind w:firstLine="709"/>
        <w:rPr>
          <w:rFonts w:cs="Verdana"/>
          <w:b/>
          <w:bCs/>
          <w:color w:val="000000"/>
        </w:rPr>
      </w:pPr>
    </w:p>
    <w:p w14:paraId="351DEBA6" w14:textId="77777777" w:rsidR="007C4611" w:rsidRPr="007C4611" w:rsidRDefault="007C4611" w:rsidP="007C4611">
      <w:pPr>
        <w:ind w:firstLine="709"/>
      </w:pPr>
      <w:r w:rsidRPr="007C4611">
        <w:rPr>
          <w:rFonts w:cs="Verdana"/>
          <w:b/>
          <w:bCs/>
          <w:color w:val="000000"/>
        </w:rPr>
        <w:t>2.5.</w:t>
      </w:r>
      <w:r w:rsidRPr="007C4611">
        <w:t xml:space="preserve"> Fonun eşik değeri, </w:t>
      </w:r>
      <w:bookmarkStart w:id="13" w:name="_Hlk107844027"/>
      <w:r w:rsidRPr="007C4611">
        <w:t>%95 BIST 100 Getiri Endeksi + %5 BIST-KYD Repo (Brüt) Endeksi</w:t>
      </w:r>
      <w:bookmarkEnd w:id="13"/>
      <w:r w:rsidRPr="007C4611">
        <w:t xml:space="preserve"> olarak belirlenmiştir.</w:t>
      </w:r>
    </w:p>
    <w:p w14:paraId="57E6225C" w14:textId="77777777" w:rsidR="007C4611" w:rsidRPr="007C4611" w:rsidRDefault="007C4611" w:rsidP="007C4611">
      <w:pPr>
        <w:ind w:firstLine="709"/>
      </w:pPr>
    </w:p>
    <w:p w14:paraId="32C10235" w14:textId="77777777" w:rsidR="007C4611" w:rsidRPr="007C4611" w:rsidRDefault="007C4611" w:rsidP="007C4611">
      <w:pPr>
        <w:ind w:firstLine="709"/>
      </w:pPr>
      <w:r w:rsidRPr="007C4611">
        <w:t>Performans Tebliği uyarınca, Fon serbest fon olduğu için Performans Tebliği’nde belirlenen eşik değer alt sınırına ilişkin esaslar uygulanmaz.</w:t>
      </w:r>
    </w:p>
    <w:p w14:paraId="4BFDF80C" w14:textId="77777777" w:rsidR="00746780" w:rsidRDefault="00746780" w:rsidP="00746780">
      <w:pPr>
        <w:rPr>
          <w:rFonts w:cs="Verdana"/>
          <w:b/>
          <w:bCs/>
          <w:color w:val="000000"/>
        </w:rPr>
      </w:pPr>
    </w:p>
    <w:p w14:paraId="6921B5CE" w14:textId="18D4C6B8" w:rsidR="00AC31DF" w:rsidRDefault="00746780" w:rsidP="00746780">
      <w:pPr>
        <w:ind w:firstLine="708"/>
        <w:rPr>
          <w:rFonts w:cs="Verdana"/>
          <w:bCs/>
          <w:color w:val="000000"/>
        </w:rPr>
      </w:pPr>
      <w:r w:rsidRPr="00EC42EC">
        <w:rPr>
          <w:rFonts w:cs="Verdana"/>
          <w:b/>
          <w:bCs/>
          <w:color w:val="000000"/>
        </w:rPr>
        <w:t>2.</w:t>
      </w:r>
      <w:r>
        <w:rPr>
          <w:rFonts w:cs="Verdana"/>
          <w:b/>
          <w:bCs/>
          <w:color w:val="000000"/>
        </w:rPr>
        <w:t xml:space="preserve">6. </w:t>
      </w:r>
      <w:r w:rsidRPr="00EC42EC">
        <w:rPr>
          <w:rFonts w:cs="Verdana"/>
          <w:bCs/>
          <w:color w:val="000000"/>
        </w:rPr>
        <w:t>Portföye</w:t>
      </w:r>
      <w:r>
        <w:t xml:space="preserve"> riskten korunma ve/veya yatırım amacıyla kaldıraç yaratan işlemlerden; faiz, ortaklık payı, ortaklık payı endeksleri ve diğer sermaye piyasası araçlarına dayalı türev araç (vadeli işlem ve opsiyon sözleşmeleri), saklı türev araç, swap sözleşmesi, varant, sertifika, ileri valörlü borçlanma araçları işlemleri </w:t>
      </w:r>
      <w:r>
        <w:rPr>
          <w:rFonts w:cs="Verdana"/>
          <w:bCs/>
          <w:color w:val="000000"/>
        </w:rPr>
        <w:t>dahil edilir.</w:t>
      </w:r>
      <w:r w:rsidRPr="00EE3F45">
        <w:t xml:space="preserve"> </w:t>
      </w:r>
      <w:r w:rsidRPr="00EE3F45">
        <w:rPr>
          <w:rFonts w:cs="Verdana"/>
          <w:bCs/>
          <w:color w:val="000000"/>
        </w:rPr>
        <w:t xml:space="preserve">Şu kadar ki, </w:t>
      </w:r>
      <w:r>
        <w:rPr>
          <w:rFonts w:cs="Verdana"/>
          <w:bCs/>
          <w:color w:val="000000"/>
        </w:rPr>
        <w:t>kaldıraç yaratan</w:t>
      </w:r>
      <w:r w:rsidRPr="00EE3F45">
        <w:rPr>
          <w:rFonts w:cs="Verdana"/>
          <w:bCs/>
          <w:color w:val="000000"/>
        </w:rPr>
        <w:t xml:space="preserve"> işlemlerinin hiçbir tarafı yabancı para birimi cinsinden varlık ve altın ile diğer kıymetli madenler ve bunlara dayalı sermaye piyasası araçlarından oluşturulamaz.</w:t>
      </w:r>
    </w:p>
    <w:p w14:paraId="35D836A5" w14:textId="77777777" w:rsidR="006D03A2" w:rsidRDefault="006D03A2" w:rsidP="00746780">
      <w:pPr>
        <w:ind w:firstLine="708"/>
        <w:rPr>
          <w:rFonts w:cs="Verdana"/>
          <w:bCs/>
          <w:color w:val="000000"/>
        </w:rPr>
      </w:pPr>
    </w:p>
    <w:p w14:paraId="4D488AAF" w14:textId="77777777" w:rsidR="00746780" w:rsidRDefault="00AC31DF" w:rsidP="00746780">
      <w:pPr>
        <w:ind w:firstLine="708"/>
        <w:rPr>
          <w:rStyle w:val="AklamaBavurusu"/>
        </w:rPr>
      </w:pPr>
      <w:r w:rsidRPr="00AC31DF">
        <w:rPr>
          <w:rFonts w:cs="Verdana"/>
          <w:bCs/>
          <w:color w:val="000000"/>
        </w:rPr>
        <w:t>Kaldıraç kullanımı, fonun getiri volatilitesini ve maruz kaldığı riskleri de artırabilir. Kaldıraç seviyesinin belirlenmesinde, kaldıraç kullanımı sonrasında oluşabilecek risklilik düzeyinin bu izahnamede yer alan sınırlamalar dahilinde kalması hususu da göz önünde bulundurulur.</w:t>
      </w:r>
      <w:r w:rsidR="00746780" w:rsidRPr="00EE3F45">
        <w:rPr>
          <w:rFonts w:cs="Verdana"/>
          <w:bCs/>
          <w:color w:val="000000"/>
        </w:rPr>
        <w:t xml:space="preserve"> </w:t>
      </w:r>
    </w:p>
    <w:p w14:paraId="72FD3629" w14:textId="77777777" w:rsidR="00746780" w:rsidRDefault="00746780" w:rsidP="00746780">
      <w:pPr>
        <w:ind w:firstLine="708"/>
        <w:rPr>
          <w:rFonts w:cs="Verdana"/>
          <w:bCs/>
          <w:color w:val="000000"/>
        </w:rPr>
      </w:pPr>
    </w:p>
    <w:p w14:paraId="7713B3E2" w14:textId="6E645373" w:rsidR="00746780" w:rsidRDefault="00746780" w:rsidP="00746780">
      <w:pPr>
        <w:ind w:firstLine="709"/>
      </w:pPr>
      <w:r w:rsidRPr="006766E1">
        <w:rPr>
          <w:rFonts w:cs="Verdana"/>
          <w:b/>
          <w:bCs/>
          <w:color w:val="000000"/>
        </w:rPr>
        <w:t xml:space="preserve">2.7. </w:t>
      </w:r>
      <w:r w:rsidRPr="00EC42EC">
        <w:rPr>
          <w:rFonts w:cs="Verdana"/>
          <w:bCs/>
          <w:color w:val="000000"/>
        </w:rPr>
        <w:t>Portföye</w:t>
      </w:r>
      <w:r>
        <w:rPr>
          <w:rFonts w:cs="Verdana"/>
          <w:bCs/>
          <w:color w:val="000000"/>
        </w:rPr>
        <w:t xml:space="preserve"> borsa dışından</w:t>
      </w:r>
      <w:r>
        <w:t xml:space="preserve"> türev araç (vadeli işlem ve opsiyon), swap sözleşmeleri, repo ve ters repo sözleşmeleri dahil edilebilir.</w:t>
      </w:r>
      <w:r w:rsidRPr="007277B8">
        <w:t xml:space="preserve"> Borsa</w:t>
      </w:r>
      <w:r>
        <w:t xml:space="preserve"> dışı </w:t>
      </w:r>
      <w:r w:rsidRPr="007277B8">
        <w:t>sözleşmeler fonun yatırım stratejisine uygun olarak fon portföyüne dahil edilir. Sözleşmelerin karşı taraflarının yatırım yapılabilir derecelendirme notuna sahip olması, herhangi bir ilişkiden etkilenmeyecek şekilde objektif koşullarda yapılması ve adil bir fiyat içermesi ve fonun fiyat açıklama dönemlerinde gerçeğe uygun değeri üzerinden nakde dönüştürülebilir olması zorunludur</w:t>
      </w:r>
      <w:r>
        <w:t>.</w:t>
      </w:r>
      <w:r w:rsidRPr="001B6E0A">
        <w:t xml:space="preserve"> </w:t>
      </w:r>
    </w:p>
    <w:p w14:paraId="19E25DAA" w14:textId="77777777" w:rsidR="006D03A2" w:rsidRDefault="006D03A2" w:rsidP="00746780">
      <w:pPr>
        <w:ind w:firstLine="709"/>
      </w:pPr>
    </w:p>
    <w:p w14:paraId="49E8E202" w14:textId="6AC231EF" w:rsidR="00746780" w:rsidRDefault="00746780" w:rsidP="00746780">
      <w:pPr>
        <w:ind w:firstLine="709"/>
      </w:pPr>
      <w:r>
        <w:t>Ayrıca, borsa dışı Türk lirası cinsi türev araçlar (vadeli işlem ve opsiyon), swap sözleşmeleri, repo ve ters repo sözleşmelerinin k</w:t>
      </w:r>
      <w:r w:rsidRPr="00B84462">
        <w:t xml:space="preserve">arşı tarafının denetime ve gözetime tabi finansal bir kurum </w:t>
      </w:r>
      <w:r>
        <w:t>(banka, aracı kurum v.b.) olması ve f</w:t>
      </w:r>
      <w:r w:rsidRPr="00B84462">
        <w:t>onun fiyat açıklama dönemlerinde “güveni</w:t>
      </w:r>
      <w:r w:rsidR="00A15525">
        <w:t>li</w:t>
      </w:r>
      <w:r w:rsidRPr="00B84462">
        <w:t>r” ve “doğrulanabil</w:t>
      </w:r>
      <w:r>
        <w:t xml:space="preserve">ir” bir yöntem ile değerlenmesi </w:t>
      </w:r>
      <w:r w:rsidRPr="00B84462">
        <w:t>zorunludur.</w:t>
      </w:r>
    </w:p>
    <w:p w14:paraId="3702A06D" w14:textId="77777777" w:rsidR="006D03A2" w:rsidRDefault="006D03A2" w:rsidP="00746780">
      <w:pPr>
        <w:ind w:firstLine="709"/>
      </w:pPr>
    </w:p>
    <w:p w14:paraId="063338C7" w14:textId="77777777" w:rsidR="00746780" w:rsidRPr="00B84462" w:rsidRDefault="00746780" w:rsidP="00746780">
      <w:pPr>
        <w:ind w:firstLine="709"/>
      </w:pPr>
      <w:r w:rsidRPr="00002A65">
        <w:t>İşbu araç, sözleşme ve işlemlerin hiçbir tarafı yabancı para birimi cinsinden varlık ve altın ile diğer kıymetli madenler ve bunlara dayalı sermaye piyasası araçlarından oluşturulamaz.</w:t>
      </w:r>
    </w:p>
    <w:p w14:paraId="7615D9CB" w14:textId="77777777" w:rsidR="00746780" w:rsidRDefault="00746780" w:rsidP="00746780">
      <w:pPr>
        <w:ind w:firstLine="709"/>
        <w:rPr>
          <w:rFonts w:cs="Verdana"/>
          <w:b/>
          <w:bCs/>
          <w:color w:val="000000"/>
        </w:rPr>
      </w:pPr>
    </w:p>
    <w:p w14:paraId="3F514718" w14:textId="77777777" w:rsidR="00746780" w:rsidRPr="00EC42EC" w:rsidRDefault="00746780" w:rsidP="00746780">
      <w:pPr>
        <w:ind w:firstLine="709"/>
        <w:rPr>
          <w:b/>
        </w:rPr>
      </w:pPr>
      <w:r w:rsidRPr="00EC42EC">
        <w:rPr>
          <w:b/>
        </w:rPr>
        <w:t>2.</w:t>
      </w:r>
      <w:r>
        <w:rPr>
          <w:b/>
        </w:rPr>
        <w:t>8</w:t>
      </w:r>
      <w:r w:rsidRPr="00EC42EC">
        <w:rPr>
          <w:b/>
        </w:rPr>
        <w:t xml:space="preserve">. </w:t>
      </w:r>
      <w:r>
        <w:t>Fon hesabına kredi alınması mümkündür.</w:t>
      </w:r>
    </w:p>
    <w:p w14:paraId="2C21316C" w14:textId="77777777" w:rsidR="00746780" w:rsidRPr="00EC42EC" w:rsidRDefault="00746780" w:rsidP="00746780"/>
    <w:p w14:paraId="1071BD93" w14:textId="77777777" w:rsidR="00746780" w:rsidRDefault="00746780" w:rsidP="00746780">
      <w:pPr>
        <w:ind w:firstLine="708"/>
      </w:pPr>
      <w:r w:rsidRPr="00EC42EC">
        <w:rPr>
          <w:b/>
        </w:rPr>
        <w:t>2.</w:t>
      </w:r>
      <w:r>
        <w:rPr>
          <w:b/>
        </w:rPr>
        <w:t>9</w:t>
      </w:r>
      <w:r w:rsidRPr="00EC42EC">
        <w:rPr>
          <w:b/>
        </w:rPr>
        <w:t>.</w:t>
      </w:r>
      <w:r w:rsidRPr="00EC42EC">
        <w:t xml:space="preserve"> </w:t>
      </w:r>
      <w:r w:rsidR="00AC31DF" w:rsidRPr="00AC31DF">
        <w:t xml:space="preserve">Portföye dahil edilen ikraz iştirak senetlerinin seçiminde Yatırım Fonlarına İlişkin Rehber’in 4.1.6’ncı ve 4.1.2.2’nci maddelerinde yer alan aşağıdaki esaslara uyulur. </w:t>
      </w:r>
      <w:r w:rsidRPr="00EC42EC">
        <w:t xml:space="preserve"> </w:t>
      </w:r>
    </w:p>
    <w:p w14:paraId="768272DC" w14:textId="77777777" w:rsidR="00AC31DF" w:rsidRDefault="00AC31DF" w:rsidP="00746780">
      <w:pPr>
        <w:ind w:firstLine="708"/>
      </w:pPr>
    </w:p>
    <w:p w14:paraId="057D668D" w14:textId="77777777" w:rsidR="00AC31DF" w:rsidRPr="00AC31DF" w:rsidRDefault="00AC31DF" w:rsidP="00AC31DF">
      <w:pPr>
        <w:ind w:firstLine="708"/>
      </w:pPr>
      <w:r w:rsidRPr="00AC31DF">
        <w:t xml:space="preserve">Fon, borsada işlem görme şartı hariç olmak üzere Yatırım Fonlarına İlişkin Rehber’in 4.1.2.1.(A) maddesinde belirtilen şartların sağlanması kaydıyla ikraz iştirak senetlerine yatırım yapabilir. </w:t>
      </w:r>
    </w:p>
    <w:p w14:paraId="36D3CFD1" w14:textId="77777777" w:rsidR="00AC31DF" w:rsidRPr="00AC31DF" w:rsidRDefault="00AC31DF" w:rsidP="00AC31DF">
      <w:pPr>
        <w:ind w:firstLine="708"/>
      </w:pPr>
      <w:r w:rsidRPr="00AC31DF">
        <w:lastRenderedPageBreak/>
        <w:t xml:space="preserve">Buna ilaveten, ikraz iştirak senetlerinin; </w:t>
      </w:r>
    </w:p>
    <w:p w14:paraId="76D85F49" w14:textId="77777777" w:rsidR="00AC31DF" w:rsidRPr="00AC31DF" w:rsidRDefault="00AC31DF" w:rsidP="00AC31DF">
      <w:pPr>
        <w:numPr>
          <w:ilvl w:val="0"/>
          <w:numId w:val="35"/>
        </w:numPr>
      </w:pPr>
      <w:r w:rsidRPr="00AC31DF">
        <w:t xml:space="preserve">Fiyatının veri dağıtım kanalları vasıtasıyla ilan edilmesi, </w:t>
      </w:r>
    </w:p>
    <w:p w14:paraId="1B5BBCED" w14:textId="2E773F68" w:rsidR="00245085" w:rsidRDefault="00AC31DF" w:rsidP="00245085">
      <w:pPr>
        <w:numPr>
          <w:ilvl w:val="0"/>
          <w:numId w:val="35"/>
        </w:numPr>
      </w:pPr>
      <w:r w:rsidRPr="00AC31DF">
        <w:t xml:space="preserve">Fonun fiyat açıklama dönemlerinde Finansal Raporlama Tebliği düzenlemeleri çerçevesinde gerçeğe uygun değeri üzerinden nakde dönüştürülebilir nitelikte likidasyona sahip olması zorunludur. </w:t>
      </w:r>
    </w:p>
    <w:p w14:paraId="2FC831CE" w14:textId="785CC1E4" w:rsidR="00245085" w:rsidRDefault="00245085" w:rsidP="00A55BC8"/>
    <w:p w14:paraId="66C83B84" w14:textId="5386671D" w:rsidR="00245085" w:rsidRDefault="00245085" w:rsidP="00B34EEF">
      <w:pPr>
        <w:ind w:firstLine="708"/>
      </w:pPr>
      <w:r w:rsidRPr="00245085">
        <w:rPr>
          <w:b/>
        </w:rPr>
        <w:t xml:space="preserve">2.10. </w:t>
      </w:r>
      <w:r w:rsidRPr="00245085">
        <w:t>Portföye riskten korunma ve/veya yatırım stratejisine uygun olacak şekilde türev araçlar (VİOP sözleşmeleri, forward sözleşmeleri, opsiyon sözleşmeleri, valörlü tahvil/bono işlemleri) dahil edilir. Şu kadar ki, bu işlem, sözleşme ve araçların hiç bir tarafı yabancı para birimi cinsinden varlık ve altın ile diğer kıymetli madenler ve bunlara dayalı sermaye piyasası araçlarından oluşturulamaz.</w:t>
      </w:r>
    </w:p>
    <w:p w14:paraId="662EA132" w14:textId="77777777" w:rsidR="00B34EEF" w:rsidRDefault="00B34EEF" w:rsidP="00B34EEF">
      <w:pPr>
        <w:ind w:firstLine="708"/>
      </w:pPr>
    </w:p>
    <w:p w14:paraId="7493C501" w14:textId="77777777" w:rsidR="00746780" w:rsidRPr="00EC42EC" w:rsidRDefault="00746780" w:rsidP="00746780">
      <w:pPr>
        <w:ind w:firstLine="709"/>
        <w:rPr>
          <w:b/>
        </w:rPr>
      </w:pPr>
      <w:bookmarkStart w:id="14" w:name="_Hlk94792906"/>
      <w:r w:rsidRPr="00EC42EC">
        <w:rPr>
          <w:b/>
        </w:rPr>
        <w:t>III. TEMEL YATIRIM RİSKLERİ VE RİSKLERİN ÖLÇÜMÜ</w:t>
      </w:r>
    </w:p>
    <w:bookmarkEnd w:id="14"/>
    <w:p w14:paraId="63F9A1FC" w14:textId="77777777" w:rsidR="00746780" w:rsidRPr="00EC42EC" w:rsidRDefault="00746780" w:rsidP="00746780">
      <w:pPr>
        <w:ind w:firstLine="709"/>
      </w:pPr>
    </w:p>
    <w:p w14:paraId="7AC82CAA" w14:textId="77777777" w:rsidR="00746780" w:rsidRPr="00EC42EC" w:rsidRDefault="00746780" w:rsidP="00746780">
      <w:pPr>
        <w:ind w:firstLine="709"/>
      </w:pPr>
      <w:r w:rsidRPr="00EC42EC">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w:t>
      </w:r>
    </w:p>
    <w:p w14:paraId="6C667A14" w14:textId="77777777" w:rsidR="00746780" w:rsidRPr="00EC42EC" w:rsidRDefault="00746780" w:rsidP="00746780">
      <w:pPr>
        <w:ind w:firstLine="709"/>
      </w:pPr>
    </w:p>
    <w:p w14:paraId="32664914" w14:textId="77777777" w:rsidR="00746780" w:rsidRPr="00EC42EC" w:rsidRDefault="00746780" w:rsidP="00746780">
      <w:pPr>
        <w:ind w:firstLine="709"/>
        <w:rPr>
          <w:b/>
        </w:rPr>
      </w:pPr>
      <w:r w:rsidRPr="00EC42EC">
        <w:rPr>
          <w:b/>
        </w:rPr>
        <w:t>3.1. Fonun maruz kalabileceği riskler şunlardır:</w:t>
      </w:r>
    </w:p>
    <w:p w14:paraId="190E48D4" w14:textId="77777777" w:rsidR="00746780" w:rsidRPr="00EC42EC" w:rsidRDefault="00746780" w:rsidP="00746780">
      <w:pPr>
        <w:ind w:firstLine="709"/>
      </w:pPr>
    </w:p>
    <w:p w14:paraId="540CA835" w14:textId="77777777" w:rsidR="00C67A52" w:rsidRDefault="00746780" w:rsidP="00C67A52">
      <w:pPr>
        <w:ind w:firstLine="709"/>
      </w:pPr>
      <w:r>
        <w:rPr>
          <w:b/>
        </w:rPr>
        <w:t>1) Piyasa Riski:</w:t>
      </w:r>
      <w:r>
        <w:t xml:space="preserve"> </w:t>
      </w:r>
      <w:r w:rsidR="00C67A52">
        <w:t xml:space="preserve">Piyasa riski ile borçlanmayı temsil eden finansal araçların, ortaklık paylarının, diğer menkul kıymetlerin, TL finansal araçlara dayalı türev sözleşmelere ilişkin taşınan pozisyonların değerinde, faiz oranları ve ortaklık paylarındaki fiyat dalgalanmalar nedeniyle meydana gelebilecek zarar riski ifade edilmektedir. Söz konusu risklerin detaylarına aşağıda yer verilmektedir: </w:t>
      </w:r>
    </w:p>
    <w:p w14:paraId="049DE621" w14:textId="77777777" w:rsidR="00746780" w:rsidRDefault="00746780" w:rsidP="00746780">
      <w:pPr>
        <w:ind w:firstLine="709"/>
      </w:pPr>
    </w:p>
    <w:p w14:paraId="3892308B" w14:textId="77777777" w:rsidR="00746780" w:rsidRDefault="00746780" w:rsidP="00746780">
      <w:pPr>
        <w:ind w:left="708" w:firstLine="1"/>
      </w:pPr>
      <w:r>
        <w:rPr>
          <w:b/>
        </w:rPr>
        <w:t>a- Faiz Oranı Riski</w:t>
      </w:r>
      <w:r>
        <w:t xml:space="preserve">: </w:t>
      </w:r>
      <w:r w:rsidRPr="006B2C71">
        <w:t xml:space="preserve">Fon portföyüne </w:t>
      </w:r>
      <w:r>
        <w:t xml:space="preserve">faize dayalı varlıkların (borçlanma aracı, ters repo vb) </w:t>
      </w:r>
      <w:r w:rsidRPr="006B2C71">
        <w:t>dahil edilmesi halinde</w:t>
      </w:r>
      <w:r>
        <w:t>, söz konu</w:t>
      </w:r>
      <w:r w:rsidR="000A65F6">
        <w:t>su</w:t>
      </w:r>
      <w:r>
        <w:t xml:space="preserve"> varlıkların değerinde piyasalarda yaşanabilecek faiz oranları değişimleri nedeniyle oluşan riski ifade eder. </w:t>
      </w:r>
    </w:p>
    <w:p w14:paraId="5B5D12F2" w14:textId="77777777" w:rsidR="00746780" w:rsidRDefault="00746780" w:rsidP="00746780">
      <w:pPr>
        <w:ind w:left="708" w:firstLine="1"/>
      </w:pPr>
    </w:p>
    <w:p w14:paraId="1CACAE93" w14:textId="77777777" w:rsidR="00746780" w:rsidRDefault="00C67A52" w:rsidP="00746780">
      <w:pPr>
        <w:ind w:left="708" w:firstLine="1"/>
      </w:pPr>
      <w:bookmarkStart w:id="15" w:name="_Hlk94522140"/>
      <w:r>
        <w:rPr>
          <w:b/>
        </w:rPr>
        <w:t>b</w:t>
      </w:r>
      <w:r w:rsidR="00746780">
        <w:rPr>
          <w:b/>
        </w:rPr>
        <w:t>- Ortaklık Payı Fiyat Riski:</w:t>
      </w:r>
      <w:r w:rsidR="00746780">
        <w:t xml:space="preserve"> </w:t>
      </w:r>
      <w:bookmarkEnd w:id="15"/>
      <w:r w:rsidR="00746780" w:rsidRPr="006B2C71">
        <w:t xml:space="preserve">Fon portföyüne </w:t>
      </w:r>
      <w:r w:rsidR="00746780">
        <w:t>ortaklık payı</w:t>
      </w:r>
      <w:r w:rsidR="00746780" w:rsidRPr="006B2C71">
        <w:t xml:space="preserve"> dahil edilmesi halinde</w:t>
      </w:r>
      <w:r w:rsidR="00746780">
        <w:t xml:space="preserve">, Fon portföyünde bulunan ortaklık paylarının fiyatlarında meydana gelebilecek değişiklikler nedeniyle portföyün maruz kalacağı zarar olasılığını ifade etmektedir. </w:t>
      </w:r>
    </w:p>
    <w:p w14:paraId="27B1FD05" w14:textId="77777777" w:rsidR="00AC31DF" w:rsidRDefault="00AC31DF" w:rsidP="00746780">
      <w:pPr>
        <w:ind w:left="708" w:firstLine="1"/>
      </w:pPr>
    </w:p>
    <w:p w14:paraId="72446475" w14:textId="77777777" w:rsidR="00AC31DF" w:rsidRDefault="00AC31DF" w:rsidP="00746780">
      <w:pPr>
        <w:ind w:left="708" w:firstLine="1"/>
      </w:pPr>
      <w:r w:rsidRPr="00DD3B5D">
        <w:rPr>
          <w:b/>
        </w:rPr>
        <w:t>c- Kar Payı Oranı Riski:</w:t>
      </w:r>
      <w:r w:rsidRPr="00AC31DF">
        <w:t xml:space="preserve"> Fon portföyüne kira sertifikası, katılma hesabı gibi kâra katılım olanağı sağlayan katılım finans ürünlerinin dahil edilmesi durumunda, söz konusu yatırımların getiri oranındaki değişimler nedeniyle maruz kalınabilecek zarar olasılığıdır.</w:t>
      </w:r>
    </w:p>
    <w:p w14:paraId="44CECCD2" w14:textId="77777777" w:rsidR="00746780" w:rsidRDefault="00746780" w:rsidP="00746780"/>
    <w:p w14:paraId="4C9478EB" w14:textId="77777777" w:rsidR="00746780" w:rsidRDefault="00746780" w:rsidP="00746780">
      <w:pPr>
        <w:rPr>
          <w:bCs/>
        </w:rPr>
      </w:pPr>
      <w:r>
        <w:rPr>
          <w:b/>
        </w:rPr>
        <w:tab/>
        <w:t>2)</w:t>
      </w:r>
      <w:r>
        <w:t xml:space="preserve"> </w:t>
      </w:r>
      <w:r>
        <w:rPr>
          <w:b/>
        </w:rPr>
        <w:t>Karşı Taraf Riski:</w:t>
      </w:r>
      <w:r>
        <w:t xml:space="preserve"> Karşı tarafın sözleşmeden kaynaklanan yükümlülüklerini yerine getirmek istememesi ve/veya yerine getirememesi veya takas işlemlerinde ortaya çıkan aksaklıklar sonucunda ödemenin yapılamaması riskini ifade etmektedir. </w:t>
      </w:r>
    </w:p>
    <w:p w14:paraId="76EFA709" w14:textId="77777777" w:rsidR="00746780" w:rsidRDefault="00746780" w:rsidP="00746780">
      <w:pPr>
        <w:rPr>
          <w:bCs/>
        </w:rPr>
      </w:pPr>
    </w:p>
    <w:p w14:paraId="62E7F20A" w14:textId="77777777" w:rsidR="00746780" w:rsidRDefault="00746780" w:rsidP="00746780">
      <w:r>
        <w:rPr>
          <w:b/>
        </w:rPr>
        <w:tab/>
        <w:t>3) Likidite Riski:</w:t>
      </w:r>
      <w:r>
        <w:t xml:space="preserve"> Fon portföyünde bulunan finansal varlıkların istenildiği anda piyasa fiyatından nakde dönüştürülememesi halinde ortaya çıkan zarar olasılığıdır.</w:t>
      </w:r>
    </w:p>
    <w:p w14:paraId="773D4784" w14:textId="77777777" w:rsidR="00746780" w:rsidRDefault="00746780" w:rsidP="00746780">
      <w:pPr>
        <w:rPr>
          <w:bCs/>
        </w:rPr>
      </w:pPr>
    </w:p>
    <w:p w14:paraId="04ED83A6" w14:textId="77777777" w:rsidR="00B51CC7" w:rsidRDefault="00746780" w:rsidP="00B51CC7">
      <w:r>
        <w:rPr>
          <w:b/>
        </w:rPr>
        <w:lastRenderedPageBreak/>
        <w:tab/>
      </w:r>
      <w:r w:rsidRPr="00AE45DE">
        <w:rPr>
          <w:b/>
        </w:rPr>
        <w:t xml:space="preserve">4) Kaldıraç Yaratan İşlem Riski: </w:t>
      </w:r>
      <w:r w:rsidR="00B51CC7">
        <w:t>Fon portföyüne türev araç (vadeli işlem ve opsiyon sözleşmeleri), saklı türev araç, swap sözleşmesi, varant, sertifika dahil edilmesi, ileri valörlü tahvil/bono alım işlemlerinde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 eder.</w:t>
      </w:r>
    </w:p>
    <w:p w14:paraId="26E031FA" w14:textId="77777777" w:rsidR="00746780" w:rsidRDefault="00746780" w:rsidP="00746780"/>
    <w:p w14:paraId="01E9FFEB" w14:textId="77777777" w:rsidR="00746780" w:rsidRPr="00642774" w:rsidRDefault="00746780" w:rsidP="00746780">
      <w:r>
        <w:rPr>
          <w:b/>
        </w:rPr>
        <w:tab/>
        <w:t xml:space="preserve">5) </w:t>
      </w:r>
      <w:r w:rsidRPr="00642774">
        <w:rPr>
          <w:b/>
        </w:rPr>
        <w:t>Operasyonel Risk</w:t>
      </w:r>
      <w:r w:rsidRPr="00642774">
        <w:t>: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w:t>
      </w:r>
    </w:p>
    <w:p w14:paraId="090B816A" w14:textId="77777777" w:rsidR="00746780" w:rsidRDefault="00746780" w:rsidP="00746780"/>
    <w:p w14:paraId="197064FA" w14:textId="77777777" w:rsidR="00746780" w:rsidRDefault="00746780" w:rsidP="00746780">
      <w:r>
        <w:rPr>
          <w:b/>
        </w:rPr>
        <w:tab/>
        <w:t xml:space="preserve">6) </w:t>
      </w:r>
      <w:r w:rsidRPr="00642774">
        <w:rPr>
          <w:b/>
        </w:rPr>
        <w:t>Yoğunlaşma Riski:</w:t>
      </w:r>
      <w:r w:rsidRPr="00642774">
        <w:t xml:space="preserve"> Belli bir varlığa ve/veya vadeye</w:t>
      </w:r>
      <w:r>
        <w:t xml:space="preserve"> yoğun yatırım yapılması sonucu</w:t>
      </w:r>
      <w:r w:rsidRPr="00642774">
        <w:t xml:space="preserve"> fonun bu varlığın ve vadenin içerdiği risklere maruz kalmasıdır.</w:t>
      </w:r>
    </w:p>
    <w:p w14:paraId="07DE8E66" w14:textId="77777777" w:rsidR="00746780" w:rsidRDefault="00746780" w:rsidP="00746780">
      <w:r>
        <w:tab/>
      </w:r>
    </w:p>
    <w:p w14:paraId="0009A382" w14:textId="77777777" w:rsidR="00746780" w:rsidRDefault="00746780" w:rsidP="00746780">
      <w:r>
        <w:tab/>
      </w:r>
      <w:r w:rsidRPr="009677D6">
        <w:rPr>
          <w:b/>
        </w:rPr>
        <w:t>7) Korelasyon Riski:</w:t>
      </w:r>
      <w:r>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0CD24FCA" w14:textId="77777777" w:rsidR="00746780" w:rsidRDefault="00746780" w:rsidP="00746780"/>
    <w:p w14:paraId="7B4BB1E3" w14:textId="77777777" w:rsidR="00746780" w:rsidRDefault="00746780" w:rsidP="00746780">
      <w:r>
        <w:rPr>
          <w:b/>
        </w:rPr>
        <w:tab/>
        <w:t xml:space="preserve">8) </w:t>
      </w:r>
      <w:r w:rsidRPr="00642774">
        <w:rPr>
          <w:b/>
        </w:rPr>
        <w:t>Yasal Risk:</w:t>
      </w:r>
      <w:r w:rsidRPr="00642774">
        <w:t xml:space="preserve"> </w:t>
      </w:r>
      <w:r>
        <w:t>Fonun</w:t>
      </w:r>
      <w:r w:rsidRPr="00642774">
        <w:t xml:space="preserve"> </w:t>
      </w:r>
      <w:r>
        <w:t>katılma paylarının satıldığı</w:t>
      </w:r>
      <w:r w:rsidRPr="00642774">
        <w:t xml:space="preserve"> dönemden sonra mevzuatta ve düzenleyici otoritelerin düzenlemelerinde meydan</w:t>
      </w:r>
      <w:r>
        <w:t>a gelebilecek</w:t>
      </w:r>
      <w:r w:rsidRPr="00642774">
        <w:t xml:space="preserve"> değişiklerden olumsuz etkilenmesi riskidir.</w:t>
      </w:r>
    </w:p>
    <w:p w14:paraId="21F45BD7" w14:textId="77777777" w:rsidR="00746780" w:rsidRDefault="00746780" w:rsidP="00746780"/>
    <w:p w14:paraId="36741542" w14:textId="77777777" w:rsidR="00746780" w:rsidRDefault="00746780" w:rsidP="00746780">
      <w:r>
        <w:t xml:space="preserve">           </w:t>
      </w:r>
      <w:bookmarkStart w:id="16" w:name="_Hlk94522283"/>
      <w:r w:rsidRPr="00EC37EE">
        <w:rPr>
          <w:b/>
        </w:rPr>
        <w:t>9)</w:t>
      </w:r>
      <w:r>
        <w:rPr>
          <w:b/>
        </w:rPr>
        <w:t xml:space="preserve"> İhraççı Riski: </w:t>
      </w:r>
      <w:r w:rsidRPr="00B13306">
        <w:t>Fon portföyüne alınan varlıkların</w:t>
      </w:r>
      <w:r>
        <w:rPr>
          <w:b/>
        </w:rPr>
        <w:t xml:space="preserve"> </w:t>
      </w:r>
      <w:r w:rsidRPr="00B13306">
        <w:t>ihraççı</w:t>
      </w:r>
      <w:r>
        <w:t>sı</w:t>
      </w:r>
      <w:r w:rsidRPr="00B13306">
        <w:t>nın y</w:t>
      </w:r>
      <w:r>
        <w:t>ükümlülüklerini kısmen veya tama</w:t>
      </w:r>
      <w:r w:rsidRPr="00B13306">
        <w:t>m</w:t>
      </w:r>
      <w:r>
        <w:t>e</w:t>
      </w:r>
      <w:r w:rsidRPr="00B13306">
        <w:t xml:space="preserve">n zamanında </w:t>
      </w:r>
      <w:bookmarkEnd w:id="16"/>
      <w:r w:rsidRPr="00B13306">
        <w:t>yerine getirememesi nedeniyle doğabilecek zarar ihtimalini ifade eder.</w:t>
      </w:r>
    </w:p>
    <w:p w14:paraId="1E6049C3" w14:textId="77777777" w:rsidR="00746780" w:rsidRDefault="00746780" w:rsidP="00746780"/>
    <w:p w14:paraId="6EFA8DF0" w14:textId="77777777" w:rsidR="00746780" w:rsidRDefault="00746780" w:rsidP="00746780">
      <w:r>
        <w:tab/>
      </w:r>
      <w:bookmarkStart w:id="17" w:name="_Hlk98108106"/>
      <w:r>
        <w:rPr>
          <w:b/>
        </w:rPr>
        <w:t>10</w:t>
      </w:r>
      <w:r w:rsidRPr="00EC37EE">
        <w:rPr>
          <w:b/>
        </w:rPr>
        <w:t>)</w:t>
      </w:r>
      <w:r>
        <w:rPr>
          <w:b/>
        </w:rPr>
        <w:t xml:space="preserve"> </w:t>
      </w:r>
      <w:r w:rsidRPr="00437EC5">
        <w:rPr>
          <w:b/>
          <w:bCs/>
        </w:rPr>
        <w:t>Açığa Satış Riski:</w:t>
      </w:r>
      <w:r>
        <w:t xml:space="preserve"> Fon portföyü içerisinden açığa satış yapılan finansal enstrümanların piyasa likiditesinin daralması sebebiyle ödünç karşılığı ve/veya doğrudan açığa satış imkanlarının azalması durumunu ifade etmektedir.</w:t>
      </w:r>
    </w:p>
    <w:p w14:paraId="1D2410B3" w14:textId="77777777" w:rsidR="00B51CC7" w:rsidRDefault="00B51CC7" w:rsidP="00746780"/>
    <w:p w14:paraId="0BA154B5" w14:textId="77777777" w:rsidR="00746780" w:rsidRDefault="00746780" w:rsidP="00C67A52">
      <w:pPr>
        <w:ind w:firstLine="720"/>
        <w:rPr>
          <w:b/>
        </w:rPr>
      </w:pPr>
      <w:r>
        <w:rPr>
          <w:b/>
        </w:rPr>
        <w:t>11</w:t>
      </w:r>
      <w:r w:rsidRPr="00EC37EE">
        <w:rPr>
          <w:b/>
        </w:rPr>
        <w:t>)</w:t>
      </w:r>
      <w:r>
        <w:rPr>
          <w:b/>
        </w:rPr>
        <w:t xml:space="preserve"> </w:t>
      </w:r>
      <w:r w:rsidRPr="00437EC5">
        <w:rPr>
          <w:b/>
          <w:bCs/>
        </w:rPr>
        <w:t>Etik Risk:</w:t>
      </w:r>
      <w:r>
        <w:t xml:space="preserve"> Dolandırıcılık, suistimal, zimmete para geçirme, hırsızlık gibi nedenler ile Fon’u zarara uğratabilecek kasıtlı eylemler ya da Kurucu’nun itibarını olumsuz etkileyecek suçların (örneğin, kara para aklanması) işlenmesi riskidir.</w:t>
      </w:r>
      <w:r w:rsidRPr="00EC37EE">
        <w:rPr>
          <w:b/>
        </w:rPr>
        <w:t xml:space="preserve"> </w:t>
      </w:r>
    </w:p>
    <w:p w14:paraId="473B67A4" w14:textId="77777777" w:rsidR="00AC31DF" w:rsidRDefault="00AC31DF" w:rsidP="00C67A52">
      <w:pPr>
        <w:ind w:firstLine="720"/>
        <w:rPr>
          <w:b/>
        </w:rPr>
      </w:pPr>
    </w:p>
    <w:p w14:paraId="4D03C7C8" w14:textId="77777777" w:rsidR="00746780" w:rsidRDefault="00746780" w:rsidP="00746780">
      <w:pPr>
        <w:ind w:firstLine="720"/>
      </w:pPr>
      <w:r>
        <w:rPr>
          <w:b/>
        </w:rPr>
        <w:t>12</w:t>
      </w:r>
      <w:r w:rsidRPr="00EC37EE">
        <w:rPr>
          <w:b/>
        </w:rPr>
        <w:t>)</w:t>
      </w:r>
      <w:r>
        <w:rPr>
          <w:b/>
        </w:rPr>
        <w:t xml:space="preserve"> </w:t>
      </w:r>
      <w:r w:rsidRPr="00437EC5">
        <w:rPr>
          <w:b/>
          <w:bCs/>
        </w:rPr>
        <w:t xml:space="preserve">Baz Riski: </w:t>
      </w:r>
      <w:r w:rsidRPr="00D8088B">
        <w:t xml:space="preserve">Vadeli </w:t>
      </w:r>
      <w:r>
        <w:t>işlem kontratlarının cari değeri ile konu olan ilgili finansal enstrüman spot fiyatının aldığı değer arasındaki fiyat farklılığı değişimini ifade etmektedir. Sözleşmede belirlenen vade sonunda vadeli fiyat ile spot fiyat birbirine eşit olmaktadır. Ancak fon portföyü içerisinde yer alan ilgili vadeli finansal enstrümanlarda işlem yapılan tarih ile vade sonu arasında geçen zaman içerisinde vadeli fiyat ile spot fiyat teorik fiyatlamadan farklı olabilmektedir. Dolayısı ile burada Baz Değer’in sözleşme vadesi boyunca göstereceği değişim riskini ifade etmektedir.</w:t>
      </w:r>
    </w:p>
    <w:p w14:paraId="25142F41" w14:textId="77777777" w:rsidR="00746780" w:rsidRDefault="00746780" w:rsidP="00746780">
      <w:pPr>
        <w:ind w:firstLine="720"/>
        <w:rPr>
          <w:b/>
        </w:rPr>
      </w:pPr>
      <w:r>
        <w:rPr>
          <w:b/>
        </w:rPr>
        <w:t xml:space="preserve"> </w:t>
      </w:r>
    </w:p>
    <w:p w14:paraId="1265A429" w14:textId="77777777" w:rsidR="00746780" w:rsidRDefault="00746780" w:rsidP="00746780">
      <w:pPr>
        <w:ind w:firstLine="720"/>
      </w:pPr>
      <w:r>
        <w:rPr>
          <w:b/>
        </w:rPr>
        <w:t>13</w:t>
      </w:r>
      <w:r w:rsidRPr="00EC37EE">
        <w:rPr>
          <w:b/>
        </w:rPr>
        <w:t>)</w:t>
      </w:r>
      <w:r>
        <w:rPr>
          <w:b/>
        </w:rPr>
        <w:t xml:space="preserve"> </w:t>
      </w:r>
      <w:r w:rsidRPr="00437EC5">
        <w:rPr>
          <w:b/>
          <w:bCs/>
        </w:rPr>
        <w:t>Teminat Riski:</w:t>
      </w:r>
      <w:r>
        <w:t xml:space="preserve"> Türev araçlar üzerinden alınan bir pozisyonun güvencesi olarak alınan teminatın, teminatı zorunlu haller sebebiyle likidite etmesi halinde piyasaya göre değerleme </w:t>
      </w:r>
      <w:r>
        <w:lastRenderedPageBreak/>
        <w:t>değerinin beklenen türev pozisyon değerini karşılayamaması veya doğrudan, teminatın niteliği ile ilgili olumsuzlukların bulunması olasılığının ortaya çıkması durumudur.</w:t>
      </w:r>
    </w:p>
    <w:p w14:paraId="605780AD" w14:textId="77777777" w:rsidR="00746780" w:rsidRDefault="00746780" w:rsidP="00746780">
      <w:pPr>
        <w:ind w:firstLine="720"/>
        <w:rPr>
          <w:b/>
        </w:rPr>
      </w:pPr>
    </w:p>
    <w:p w14:paraId="17F04724" w14:textId="77777777" w:rsidR="00746780" w:rsidRDefault="00746780" w:rsidP="00746780">
      <w:pPr>
        <w:ind w:firstLine="720"/>
      </w:pPr>
      <w:r>
        <w:rPr>
          <w:b/>
        </w:rPr>
        <w:t>1</w:t>
      </w:r>
      <w:r w:rsidR="00635B10">
        <w:rPr>
          <w:b/>
        </w:rPr>
        <w:t>4</w:t>
      </w:r>
      <w:r w:rsidRPr="00EC37EE">
        <w:rPr>
          <w:b/>
        </w:rPr>
        <w:t>)</w:t>
      </w:r>
      <w:r>
        <w:rPr>
          <w:b/>
        </w:rPr>
        <w:t xml:space="preserve"> </w:t>
      </w:r>
      <w:r w:rsidRPr="00437EC5">
        <w:rPr>
          <w:b/>
          <w:bCs/>
        </w:rPr>
        <w:t>Opsiyon Duyarlılık Riskleri:</w:t>
      </w:r>
      <w:r>
        <w:t xml:space="preserve"> Opsiyon portföylerinde risk duyarlılıkları arasında, işleme konu olan spot finansal ürün fiyat değişiminde çok farklı miktarda risk duyarlılık değişimleri yaşanabilmektedir. Delta; opsiyonun yazıldığı ilgili finansal varlığın fiyatındaki bir birim değişmenin opsiyon priminde oluşturduğu değişimi göstermektedir. Gamma; opsiyonun ilgili olduğu varlığın fiyatındaki değişimin opsiyonun deltasında meydana getirdiği değişimi ölçmektedir. Vega; opsiyonun dayanak varlığının fiyat dalgalanmasındaki birim değişimin opsiyon priminde oluşturduğu değişimdir. Theta; risk ölçümlerinde büyük önem taşıyan zaman faktörünü ifade eden gösterge olup, opsiyon fiyatının vadeye göre değişiminin ölçüsüdür. Rho ise faiz oranlarındaki yüzdesel değişimin opsiyonun fiyatında oluşturduğu değişimin ölçüsüdür. </w:t>
      </w:r>
    </w:p>
    <w:p w14:paraId="77E5DED5" w14:textId="77777777" w:rsidR="00746780" w:rsidRDefault="00746780" w:rsidP="00746780">
      <w:pPr>
        <w:ind w:firstLine="720"/>
      </w:pPr>
    </w:p>
    <w:p w14:paraId="48A27868" w14:textId="77777777" w:rsidR="00746780" w:rsidRDefault="00746780" w:rsidP="00746780">
      <w:pPr>
        <w:ind w:firstLine="720"/>
      </w:pPr>
      <w:r>
        <w:rPr>
          <w:b/>
        </w:rPr>
        <w:t>1</w:t>
      </w:r>
      <w:r w:rsidR="00635B10">
        <w:rPr>
          <w:b/>
        </w:rPr>
        <w:t>5</w:t>
      </w:r>
      <w:r w:rsidRPr="00EC37EE">
        <w:rPr>
          <w:b/>
        </w:rPr>
        <w:t>)</w:t>
      </w:r>
      <w:r>
        <w:rPr>
          <w:b/>
        </w:rPr>
        <w:t xml:space="preserve"> </w:t>
      </w:r>
      <w:r w:rsidRPr="0003524D">
        <w:rPr>
          <w:b/>
          <w:bCs/>
        </w:rPr>
        <w:t>Yapılandırılmış Yatırım</w:t>
      </w:r>
      <w:r>
        <w:rPr>
          <w:b/>
          <w:bCs/>
        </w:rPr>
        <w:t xml:space="preserve"> </w:t>
      </w:r>
      <w:r w:rsidRPr="0003524D">
        <w:rPr>
          <w:b/>
          <w:bCs/>
        </w:rPr>
        <w:t>/</w:t>
      </w:r>
      <w:r>
        <w:rPr>
          <w:b/>
          <w:bCs/>
        </w:rPr>
        <w:t xml:space="preserve"> </w:t>
      </w:r>
      <w:r w:rsidRPr="0003524D">
        <w:rPr>
          <w:b/>
          <w:bCs/>
        </w:rPr>
        <w:t>Borçlanma Araçları Riskleri:</w:t>
      </w:r>
      <w:r>
        <w:t xml:space="preserve"> Yapılandırılmış yatırım/borçlanma araçlarının değeri ve dönem sonu getirisi faiz ödemesinin yanında dayanak varlığın piyasa performansına bağlıdır. Yapılandırılmış yatırım/borçlanma araçlarının dayanak varlıkları üzerine oluşturulan stratejilerin getirisinin ilgili dönemde negatif olması halinde, yatırımcı vade sonunda hiçbir itfa geliri elde edemeyeceği gibi, performansla orantılı olarak vade sonunda elde edilen itfa tutarı nominal değerden daha düşük de olabilir.</w:t>
      </w:r>
    </w:p>
    <w:p w14:paraId="1BF1FE55" w14:textId="77777777" w:rsidR="00AC31DF" w:rsidRDefault="00AC31DF" w:rsidP="00746780">
      <w:pPr>
        <w:ind w:firstLine="720"/>
      </w:pPr>
    </w:p>
    <w:p w14:paraId="2DB6C079" w14:textId="77777777" w:rsidR="00AC31DF" w:rsidRPr="00DD3B5D" w:rsidRDefault="00AC31DF" w:rsidP="00AC31DF">
      <w:pPr>
        <w:ind w:firstLine="720"/>
        <w:rPr>
          <w:bCs/>
        </w:rPr>
      </w:pPr>
      <w:r w:rsidRPr="00AC31DF">
        <w:rPr>
          <w:b/>
          <w:bCs/>
        </w:rPr>
        <w:t xml:space="preserve">15) Salgın Hastalık Riski: </w:t>
      </w:r>
      <w:r w:rsidRPr="00DD3B5D">
        <w:rPr>
          <w:bCs/>
        </w:rPr>
        <w:t>Koronavirüs veya benzeri bir salgın hastalıktan kaynaklanan sokağa çıkma yasağı, bazı işyerlerinin kapatılması gibi riskleri içerir.</w:t>
      </w:r>
    </w:p>
    <w:p w14:paraId="5702A145" w14:textId="77777777" w:rsidR="00AC31DF" w:rsidRPr="00DD3B5D" w:rsidRDefault="00AC31DF" w:rsidP="00AC31DF">
      <w:pPr>
        <w:ind w:firstLine="720"/>
        <w:rPr>
          <w:bCs/>
        </w:rPr>
      </w:pPr>
    </w:p>
    <w:p w14:paraId="1AF1C091" w14:textId="77777777" w:rsidR="00AC31DF" w:rsidRPr="00DD3B5D" w:rsidRDefault="00AC31DF" w:rsidP="00AC31DF">
      <w:pPr>
        <w:ind w:firstLine="720"/>
        <w:rPr>
          <w:bCs/>
        </w:rPr>
      </w:pPr>
      <w:r w:rsidRPr="00DD3B5D">
        <w:rPr>
          <w:bCs/>
        </w:rPr>
        <w:t>Risk tanımlamaları Kurul düzenlemeleri ve piyasa gelişmeleri takip edilerek düzenli olarak gözden geçirilir ve önemli gelişmelere paralel olarak güncellenir.</w:t>
      </w:r>
    </w:p>
    <w:p w14:paraId="47752EC0" w14:textId="77777777" w:rsidR="00AC31DF" w:rsidRPr="00AC31DF" w:rsidRDefault="00AC31DF" w:rsidP="00AC31DF">
      <w:pPr>
        <w:ind w:firstLine="720"/>
        <w:rPr>
          <w:b/>
          <w:bCs/>
        </w:rPr>
      </w:pPr>
    </w:p>
    <w:bookmarkEnd w:id="17"/>
    <w:p w14:paraId="758F5ECD" w14:textId="77777777" w:rsidR="00746780" w:rsidRPr="00EC42EC" w:rsidRDefault="00746780" w:rsidP="00746780">
      <w:pPr>
        <w:ind w:firstLine="709"/>
        <w:rPr>
          <w:b/>
        </w:rPr>
      </w:pPr>
      <w:r w:rsidRPr="00EC42EC">
        <w:rPr>
          <w:b/>
        </w:rPr>
        <w:t>3.2. Fonun maruz kalabileceği risklerin ölçümünde kullanılan yöntemler şunlardır:</w:t>
      </w:r>
    </w:p>
    <w:p w14:paraId="1834E39F" w14:textId="77777777" w:rsidR="00746780" w:rsidRPr="00EC42EC" w:rsidRDefault="00746780" w:rsidP="00746780">
      <w:pPr>
        <w:rPr>
          <w:b/>
        </w:rPr>
      </w:pPr>
    </w:p>
    <w:p w14:paraId="400D1C0F" w14:textId="77777777" w:rsidR="00746780" w:rsidRDefault="00746780" w:rsidP="00746780">
      <w:r w:rsidRPr="00EC42EC">
        <w:rPr>
          <w:b/>
        </w:rPr>
        <w:tab/>
      </w:r>
      <w:r>
        <w:t xml:space="preserve"> Fonun yatırım stratejisi ile yatırım yapılan varlıkların yapısına ve risk düzeyine uygun bir risk yönetim sistemi oluşturulmuştur. </w:t>
      </w:r>
    </w:p>
    <w:p w14:paraId="51FA485C" w14:textId="77777777" w:rsidR="00746780" w:rsidRDefault="00746780" w:rsidP="00746780">
      <w:pPr>
        <w:ind w:firstLine="708"/>
      </w:pPr>
      <w:bookmarkStart w:id="18" w:name="_Hlk98108193"/>
      <w:r>
        <w:t>Risklerin ölçülmesinde uluslararası kabul görmüş, düzenlemelerde yer verilen standart ve gelişmiş istatistik yöntemler kullanılır. Hesaplamalar izleyen günlere ait risk tahminini içerdiğinden, tahminlerin isabetliliği sonradan gerçekleşen değerler ile karşılaştırılarak günlük olarak izlenir.</w:t>
      </w:r>
    </w:p>
    <w:p w14:paraId="09B6D442" w14:textId="77777777" w:rsidR="00746780" w:rsidRDefault="00746780" w:rsidP="00746780">
      <w:pPr>
        <w:ind w:firstLine="708"/>
      </w:pPr>
    </w:p>
    <w:p w14:paraId="45F98B7E" w14:textId="77777777" w:rsidR="00746780" w:rsidRDefault="00746780" w:rsidP="00746780">
      <w:pPr>
        <w:ind w:firstLine="708"/>
      </w:pPr>
      <w:r w:rsidRPr="000D7CBE">
        <w:rPr>
          <w:b/>
          <w:bCs/>
        </w:rPr>
        <w:t>Piyasa Riski:</w:t>
      </w:r>
      <w:r>
        <w:t xml:space="preserve"> Fon portföyünün maruz kaldığı piyasa riski, günlük olarak “Riske Maruz Değer (RMD)” yöntemiyle ölçülmektedir. </w:t>
      </w:r>
    </w:p>
    <w:p w14:paraId="11693E5D" w14:textId="77777777" w:rsidR="00746780" w:rsidRDefault="00746780" w:rsidP="00746780">
      <w:pPr>
        <w:ind w:firstLine="708"/>
      </w:pPr>
    </w:p>
    <w:p w14:paraId="0D8A243E" w14:textId="77777777" w:rsidR="00746780" w:rsidRDefault="00746780" w:rsidP="00746780">
      <w:pPr>
        <w:ind w:firstLine="708"/>
      </w:pPr>
      <w:r>
        <w:t>Riske maruz değer, fon portföy değerinin normal piyasa koşullar altında ve belirli bir dönem dahilinde maruz kalabileceği en yüksek zararı belirli bir güven aralığında ifade eden değerdir. RMD yönteminde parametrik yöntem tercih edilerek, %99 güven düzeyinde, 1 günlük elde tutma süresi varsayımı altında hesaplama yapılır. Hesaplamada en az 250 iş gününü kapsayacak şekilde gözlem süresi belirlenir. Ancak olağan dışı piyasa koşullarının varlığı halinde gözlem süresi kısaltılır. RMD hesaplamalarına fon portföyünde yer alan tüm varlık ve işlemler dahil edilir. Türev araçlardan kaynaklanan riskler de bu kapsamda dikkate alınır.</w:t>
      </w:r>
    </w:p>
    <w:p w14:paraId="079D29AE" w14:textId="77777777" w:rsidR="00AC31DF" w:rsidRDefault="00AC31DF" w:rsidP="00746780">
      <w:pPr>
        <w:ind w:firstLine="708"/>
      </w:pPr>
    </w:p>
    <w:p w14:paraId="3354B2CE" w14:textId="77777777" w:rsidR="00AC31DF" w:rsidRPr="00AC31DF" w:rsidRDefault="00AC31DF" w:rsidP="00AC31DF">
      <w:pPr>
        <w:ind w:firstLine="708"/>
      </w:pPr>
      <w:r w:rsidRPr="00AC31DF">
        <w:rPr>
          <w:b/>
          <w:bCs/>
        </w:rPr>
        <w:lastRenderedPageBreak/>
        <w:t>Karşı Taraf Riski:</w:t>
      </w:r>
      <w:r w:rsidRPr="00AC31DF">
        <w:t xml:space="preserve"> Fonda firmaların ihraç ettikleri borçlanma araçlarına yatırım yapılabildiğinden kredi riski doğmaktadır. Kredi riskinin ölçümünde ihracı gerçekleştirilen firmalar hakkında yeterli derecede mali analiz ve araştırma yapıldıktan sonra firmalar, uygulamada nicel ve nitel kriterlerden oluşan etkin bir derecelendirme sisteminden geçirilmektedir. Borçlanma araçlarını ihraç edecek firmalar için nicel kriterler, firmanın karlılığı, borçluluk oranı, öz sermaye büyüklüğü, sektöründeki pazar payı gibi ölçülebilir değerlerden oluşurken nitel kriterler, firmanın kurumsal yönetişimi ile ilgili bağımsızlık, şeffaflık, hesap verilebilirlik ve profesyonel yönetim gibi ölçülebilir olmayan değerlerden oluşmaktadır.</w:t>
      </w:r>
    </w:p>
    <w:p w14:paraId="535C6453" w14:textId="77777777" w:rsidR="00746780" w:rsidRDefault="00746780" w:rsidP="00746780">
      <w:pPr>
        <w:ind w:firstLine="708"/>
      </w:pPr>
    </w:p>
    <w:p w14:paraId="1A8195AD" w14:textId="77777777" w:rsidR="00746780" w:rsidRPr="00EC42EC" w:rsidRDefault="00746780" w:rsidP="00746780">
      <w:pPr>
        <w:ind w:firstLine="708"/>
      </w:pPr>
      <w:r>
        <w:rPr>
          <w:b/>
          <w:bCs/>
        </w:rPr>
        <w:t xml:space="preserve">İhraççı </w:t>
      </w:r>
      <w:r w:rsidRPr="000D7CBE">
        <w:rPr>
          <w:b/>
          <w:bCs/>
        </w:rPr>
        <w:t>Riski:</w:t>
      </w:r>
      <w:r>
        <w:t xml:space="preserve"> Fonda firmaların ihraç ettikleri borçlanma araçlarına yatırım yapılabildiğinden kredi riski doğmaktadır. Kredi riskinin ölçümünde ihracı gerçekleştirilen firmalar hakkında yeterli derecede mali analiz ve araştırma yapıldıktan sonra firmalar, uygulamada nicel ve nitel kriterlerden oluşan etkin bir derecelendirme sisteminden geçirilmektedir. Borçlanma araçlarını ihraç edecek firmalar için nicel kriterler, firmanın karlılığı, borçluluk oranı, öz sermaye büyüklüğü, sektöründeki pazar payı gibi ölçülebilir değerlerden oluşurken nitel kriterler, firmanın kurumsal yönetişimi ile ilgili bağımsızlık, şeffaflık, hesap verilebilirlik ve profesyonel yönetim gibi ölçülebilir olmayan değerlerden oluşmaktadır.</w:t>
      </w:r>
    </w:p>
    <w:p w14:paraId="7857D94C" w14:textId="77777777" w:rsidR="00746780" w:rsidRDefault="00746780" w:rsidP="00746780">
      <w:pPr>
        <w:ind w:firstLine="709"/>
        <w:rPr>
          <w:b/>
          <w:bCs/>
        </w:rPr>
      </w:pPr>
    </w:p>
    <w:p w14:paraId="5D383570" w14:textId="77777777" w:rsidR="00746780" w:rsidRDefault="00746780" w:rsidP="00746780">
      <w:pPr>
        <w:ind w:firstLine="709"/>
      </w:pPr>
      <w:r w:rsidRPr="000D7CBE">
        <w:rPr>
          <w:b/>
          <w:bCs/>
        </w:rPr>
        <w:t>Likidite Riski:</w:t>
      </w:r>
      <w:r>
        <w:t xml:space="preserve"> </w:t>
      </w:r>
      <w:r w:rsidR="00364E4D" w:rsidRPr="00364E4D">
        <w:t>Fon portföyünde yer alan finansal varlıkların belirli bir dönemdeki ortalama hacimleri, piyasanın ortalama işlem hacmine oranlanarak her bir varlık bazında likidite katsayısı elde edilir. Fonun likidite katsayısı, fon portföyünde yer alan varlıkların likidite katsayıları ve ağırlıkları kullanılarak hesaplanır</w:t>
      </w:r>
    </w:p>
    <w:p w14:paraId="5066FB34" w14:textId="77777777" w:rsidR="00746780" w:rsidRDefault="00746780" w:rsidP="00746780">
      <w:pPr>
        <w:ind w:firstLine="709"/>
      </w:pPr>
    </w:p>
    <w:p w14:paraId="19BFDADA" w14:textId="77777777" w:rsidR="00746780" w:rsidRDefault="00746780" w:rsidP="00746780">
      <w:pPr>
        <w:ind w:firstLine="709"/>
      </w:pPr>
      <w:r w:rsidRPr="000D7CBE">
        <w:rPr>
          <w:b/>
          <w:bCs/>
        </w:rPr>
        <w:t>Operasyonel Risk</w:t>
      </w:r>
      <w:r>
        <w:t>: Şirket faaliyetleri içerisinde operasyonel risk unsuru yaratmış ve yaratması beklenen tüm konular başlıklar halinde listelenir. Bu listede operasyonel risklerin olma ihtimali ve riskin gerçekleşmesi durumunda etkileri de yer alır. Ayrıca riskin meydana gelmemesi için alınması gereken tedbirler de belirtilir. Söz konusu liste, Şirket çalışanlarına duyurulur ve yeni durumlara karşı devamlı güncellenir. Ayrıca operasyonel risk kapsamında, Şirket giderlerine yansıyan hatalı işlemlere ait veri tabanı da tutulmaktadır.</w:t>
      </w:r>
    </w:p>
    <w:p w14:paraId="703B9251" w14:textId="77777777" w:rsidR="00746780" w:rsidRDefault="00746780" w:rsidP="00746780">
      <w:pPr>
        <w:ind w:firstLine="709"/>
      </w:pPr>
    </w:p>
    <w:p w14:paraId="38692550" w14:textId="77777777" w:rsidR="00746780" w:rsidRDefault="00746780" w:rsidP="00746780">
      <w:pPr>
        <w:ind w:firstLine="709"/>
      </w:pPr>
      <w:r>
        <w:t>Fonun yasal ve mevzuat riskine konu olmaması bakımından yatırım kısıtlarının ilgili mevzuat, tebliğler, sözleşmeler, Yönetim Kurulu, Yatırım Komitesi ve Risk Komitesi kararlarına, Yatırım Karar Alma Süreçleri ve Yatırım İlke ve Sınırları Prosedürüne, Risk Politikası ve ilgili dâhili mevzuata uygunluğunun kontrolü ve gözetimi İç Kontrol Birimi tarafından günlük olarak yerine getirilir. Ayrıca Fon’un kaldıraç limitine uygunluğunun kontrolü yine İç Kontrol Birimi tarafından günlük olarak yerine getirilerek kaldıraç seviyesine ve limitlere uyum haftalık bazda raporlanır.</w:t>
      </w:r>
    </w:p>
    <w:bookmarkEnd w:id="18"/>
    <w:p w14:paraId="34C93984" w14:textId="77777777" w:rsidR="00746780" w:rsidRPr="00EC42EC" w:rsidRDefault="00746780" w:rsidP="00746780">
      <w:pPr>
        <w:ind w:firstLine="709"/>
        <w:rPr>
          <w:b/>
        </w:rPr>
      </w:pPr>
    </w:p>
    <w:p w14:paraId="26B0536C" w14:textId="77777777" w:rsidR="00746780" w:rsidRDefault="00746780" w:rsidP="00746780">
      <w:pPr>
        <w:ind w:firstLine="709"/>
        <w:rPr>
          <w:b/>
        </w:rPr>
      </w:pPr>
      <w:r w:rsidRPr="00EC42EC" w:rsidDel="00321388">
        <w:rPr>
          <w:b/>
        </w:rPr>
        <w:t>3.3. Kaldıraç Yaratan İşlemler</w:t>
      </w:r>
    </w:p>
    <w:p w14:paraId="557D213D" w14:textId="77777777" w:rsidR="00746780" w:rsidRDefault="00746780" w:rsidP="00746780">
      <w:pPr>
        <w:ind w:firstLine="709"/>
        <w:rPr>
          <w:b/>
        </w:rPr>
      </w:pPr>
    </w:p>
    <w:p w14:paraId="3C70F42E" w14:textId="77777777" w:rsidR="00746780" w:rsidRDefault="00726654" w:rsidP="00746780">
      <w:pPr>
        <w:ind w:firstLine="709"/>
      </w:pPr>
      <w:r>
        <w:t>Fon portföyüne kaldıraç yaratan işlemlerden; faiz, ortaklık payları, ortaklık payları endeksleri, diğer sermaye piyasası araçlarına dayalı türev araç (vadeli işlem ve opsiyon sözleşmeleri), saklı türev araç, swap sözleşmesi, varant, sertifika, tahvil/bono işlemleri dahil edilecektir. İşbu araç, sözleşme ve işlemlerin hiçbir tarafı yabancı para birimi cinsinden varlık ve altın ile diğer kıymetli madenler ve bunlara dayalı sermaye piyasası araçlarından oluşturulamaz.</w:t>
      </w:r>
    </w:p>
    <w:p w14:paraId="54546C71" w14:textId="77777777" w:rsidR="00726654" w:rsidRDefault="00726654" w:rsidP="00746780">
      <w:pPr>
        <w:ind w:firstLine="709"/>
      </w:pPr>
    </w:p>
    <w:p w14:paraId="45D0FBD3" w14:textId="6BBEACCF" w:rsidR="00746780" w:rsidRDefault="00746780" w:rsidP="00B51CC7">
      <w:pPr>
        <w:ind w:firstLine="709"/>
      </w:pPr>
      <w:r w:rsidRPr="006A0B89">
        <w:rPr>
          <w:b/>
        </w:rPr>
        <w:lastRenderedPageBreak/>
        <w:t>3.4.</w:t>
      </w:r>
      <w:r>
        <w:t xml:space="preserve">Kaldıraç yaratan işlemlerden kaynaklanan riskin ölçümünde Rehber’de belirlenen esaslar </w:t>
      </w:r>
      <w:r w:rsidR="00C67A52">
        <w:t>çerçevesinde Mutlak</w:t>
      </w:r>
      <w:r>
        <w:t xml:space="preserve"> RMD yöntemi kullanılacaktır.</w:t>
      </w:r>
      <w:r w:rsidR="0042162A">
        <w:t xml:space="preserve"> </w:t>
      </w:r>
      <w:r w:rsidR="00A55BC8">
        <w:t>Fon’un mutlak riske maruz değeri Fon toplam değerinin %25’ini aşamaz.</w:t>
      </w:r>
    </w:p>
    <w:p w14:paraId="7D59A025" w14:textId="77777777" w:rsidR="00746780" w:rsidRPr="006A0B89" w:rsidDel="00321388" w:rsidRDefault="00746780" w:rsidP="00746780">
      <w:pPr>
        <w:ind w:firstLine="709"/>
        <w:rPr>
          <w:b/>
        </w:rPr>
      </w:pPr>
    </w:p>
    <w:p w14:paraId="7261AB1E" w14:textId="0457877D" w:rsidR="00746780" w:rsidRDefault="00746780" w:rsidP="00746780">
      <w:pPr>
        <w:ind w:left="1" w:firstLine="708"/>
      </w:pPr>
      <w:bookmarkStart w:id="19" w:name="_Hlk119684758"/>
      <w:r w:rsidRPr="00EC42EC">
        <w:rPr>
          <w:b/>
        </w:rPr>
        <w:t>3.</w:t>
      </w:r>
      <w:r>
        <w:rPr>
          <w:b/>
        </w:rPr>
        <w:t>5</w:t>
      </w:r>
      <w:r w:rsidRPr="00EC42EC">
        <w:rPr>
          <w:b/>
        </w:rPr>
        <w:t>.</w:t>
      </w:r>
      <w:r w:rsidRPr="00EC42EC">
        <w:t xml:space="preserve"> Kaldıraç yaratan işlemlere ilişkin olarak araç bazında ayrı ayrı hesaplanan pozisyonların mutlak değerlerinin toplanması (sum of notionals) suretiyle ulaşılan toplam pozisyonun fon toplam değerine oranına “kaldıraç” </w:t>
      </w:r>
      <w:r w:rsidRPr="006D03A2">
        <w:t xml:space="preserve">denir. </w:t>
      </w:r>
      <w:r w:rsidRPr="006601B7">
        <w:t xml:space="preserve">Fonun kaldıraç limiti % </w:t>
      </w:r>
      <w:r w:rsidR="006D03A2" w:rsidRPr="006601B7">
        <w:t>5</w:t>
      </w:r>
      <w:r w:rsidRPr="006601B7">
        <w:t>00’dür</w:t>
      </w:r>
      <w:r w:rsidRPr="006D03A2">
        <w:t>.</w:t>
      </w:r>
    </w:p>
    <w:bookmarkEnd w:id="19"/>
    <w:p w14:paraId="27EE8B85" w14:textId="77777777" w:rsidR="00746780" w:rsidRDefault="00746780" w:rsidP="00746780">
      <w:pPr>
        <w:ind w:left="1" w:firstLine="708"/>
      </w:pPr>
    </w:p>
    <w:p w14:paraId="7E1A2C45" w14:textId="1E5D48D2" w:rsidR="00746780" w:rsidRDefault="00746780" w:rsidP="006601B7">
      <w:pPr>
        <w:ind w:left="1" w:firstLine="708"/>
      </w:pPr>
      <w:r w:rsidRPr="00C849FD">
        <w:rPr>
          <w:b/>
        </w:rPr>
        <w:t>3.</w:t>
      </w:r>
      <w:r>
        <w:rPr>
          <w:b/>
        </w:rPr>
        <w:t xml:space="preserve">6. </w:t>
      </w:r>
      <w:r>
        <w:t>Fon portföyüne alınan yapılandırılmış yatırım araçlarının saklı türev araç niteliği taşıyıp taşımadığı Kurucu tarafından değerlendirilerek söz konusu değerlendirmeyi tevsik edici belgeler Kurucu nezdinde muhafaza edilir. Yapılandırılmış yatırım aracının saklı türev araç niteliğinde olması halinde, risk ölçümüne ilişkin olarak Rehber’de yer alan esaslar uygulanır.</w:t>
      </w:r>
    </w:p>
    <w:p w14:paraId="7BBF51E3" w14:textId="77777777" w:rsidR="00B34EEF" w:rsidRPr="00EC42EC" w:rsidRDefault="00B34EEF" w:rsidP="006601B7">
      <w:pPr>
        <w:ind w:left="1" w:firstLine="708"/>
      </w:pPr>
    </w:p>
    <w:p w14:paraId="137B84B2" w14:textId="77777777" w:rsidR="00746780" w:rsidRPr="00EC42EC" w:rsidRDefault="00746780" w:rsidP="00746780">
      <w:pPr>
        <w:pStyle w:val="Balk2"/>
        <w:ind w:firstLine="708"/>
        <w:rPr>
          <w:rFonts w:cs="Times New Roman"/>
          <w:sz w:val="24"/>
          <w:szCs w:val="24"/>
        </w:rPr>
      </w:pPr>
      <w:bookmarkStart w:id="20" w:name="_Toc94788080"/>
      <w:bookmarkStart w:id="21" w:name="_Toc94793566"/>
      <w:r w:rsidRPr="00EC42EC">
        <w:rPr>
          <w:rFonts w:cs="Times New Roman"/>
          <w:sz w:val="24"/>
          <w:szCs w:val="24"/>
        </w:rPr>
        <w:t>IV. FON PORTFÖYÜNÜN SAKLANMASI VE FON MALVARLIĞININ AYRILIĞI</w:t>
      </w:r>
      <w:bookmarkEnd w:id="20"/>
      <w:bookmarkEnd w:id="21"/>
      <w:r w:rsidRPr="00EC42EC">
        <w:rPr>
          <w:rFonts w:cs="Times New Roman"/>
          <w:sz w:val="24"/>
          <w:szCs w:val="24"/>
        </w:rPr>
        <w:t xml:space="preserve">  </w:t>
      </w:r>
    </w:p>
    <w:p w14:paraId="049E5185" w14:textId="77777777" w:rsidR="00746780" w:rsidRPr="00EC42EC" w:rsidRDefault="00746780" w:rsidP="00746780">
      <w:pPr>
        <w:ind w:firstLine="709"/>
      </w:pPr>
    </w:p>
    <w:p w14:paraId="48AA1F47" w14:textId="77777777" w:rsidR="00746780" w:rsidRPr="00EC42EC" w:rsidRDefault="00746780" w:rsidP="00746780">
      <w:pPr>
        <w:ind w:firstLine="709"/>
      </w:pPr>
      <w:r w:rsidRPr="00EC42EC">
        <w:rPr>
          <w:b/>
        </w:rPr>
        <w:t xml:space="preserve">4.1. </w:t>
      </w:r>
      <w:r w:rsidRPr="00EC42EC">
        <w:t xml:space="preserve">Fon portföyünde yer alan ve saklamaya konu olabilecek varlıklar Kurulun portföy saklama hizmetine ilişkin düzenlemeleri çerçevesinde Portföy Saklayıcısı nezdinde saklanır. </w:t>
      </w:r>
    </w:p>
    <w:p w14:paraId="417EB6F7" w14:textId="77777777" w:rsidR="00746780" w:rsidRPr="00EC42EC" w:rsidRDefault="00746780" w:rsidP="00746780">
      <w:pPr>
        <w:ind w:firstLine="709"/>
      </w:pPr>
    </w:p>
    <w:p w14:paraId="353E0935" w14:textId="77777777" w:rsidR="00746780" w:rsidRPr="00EC42EC" w:rsidRDefault="00746780" w:rsidP="00746780">
      <w:pPr>
        <w:ind w:firstLine="709"/>
      </w:pPr>
      <w:r w:rsidRPr="00EC42EC">
        <w:rPr>
          <w:b/>
        </w:rPr>
        <w:t xml:space="preserve">4.2. </w:t>
      </w:r>
      <w:r w:rsidRPr="00EC42EC">
        <w:t>Portföy Saklayıcısı’nın, fon portföyünde yer alan ve Takasbank’ın saklama hizmeti verdiği para ve sermaye piyasası araçları</w:t>
      </w:r>
      <w:r w:rsidR="00364E4D">
        <w:t xml:space="preserve"> </w:t>
      </w:r>
      <w:r w:rsidRPr="00EC42EC">
        <w:t>ile diğer varlıkları Takasbank nezdinde ilgili fon adına açılan hesaplarda izlemesi gerekmektedir. Bunların dışında kalan varlıklar ve bunların değerleri konusunda gerekli bilgiler Takasbank’a aktarılır veya söz konusu bilgilere Takasbank’ın erişimine imkân sağlanır. Bu durumda dahi Portföy Saklayıcısı’nın yükümlülük ve sorumluluğu devam eder.</w:t>
      </w:r>
    </w:p>
    <w:p w14:paraId="5837249B" w14:textId="77777777" w:rsidR="00746780" w:rsidRPr="00EC42EC" w:rsidRDefault="00746780" w:rsidP="00746780">
      <w:pPr>
        <w:ind w:firstLine="709"/>
      </w:pPr>
    </w:p>
    <w:p w14:paraId="29BF8C0D" w14:textId="0CF87976" w:rsidR="00746780" w:rsidRPr="00EC42EC" w:rsidRDefault="00746780" w:rsidP="00A55BC8">
      <w:pPr>
        <w:ind w:firstLine="709"/>
      </w:pPr>
      <w:r w:rsidRPr="00EC42EC">
        <w:rPr>
          <w:b/>
        </w:rPr>
        <w:t xml:space="preserve">4.3. </w:t>
      </w:r>
      <w:r w:rsidRPr="00EC42EC">
        <w:t xml:space="preserve">Fon’un malvarlığı Kurucu’nun ve Portföy Saklayıcısı’nın malvarlığından ayrıdır. Fon’un malvarlığı, </w:t>
      </w:r>
      <w:r w:rsidRPr="00E50C17">
        <w:rPr>
          <w:bCs/>
        </w:rPr>
        <w:t>fon hesabına olması şartıyla kredi almak</w:t>
      </w:r>
      <w:r w:rsidRPr="00EC42EC">
        <w:t xml:space="preserve"> türev araç işlemleri veya fon adına</w:t>
      </w:r>
      <w:r w:rsidR="00063DEE">
        <w:t xml:space="preserve"> </w:t>
      </w:r>
      <w:r w:rsidRPr="00EC42EC">
        <w:t>taraf olunan benzer nitelikteki işlemlerde bulunmak haricinde teminat gösterilemez ve rehnedilemez. Fon malvarlığı Kurucunun ve Portföy Saklayıcısının yönetiminin veya denetiminin kamu kurumlarına devredilmesi halinde dahi başka bir amaçla tasarruf edilemez, kamu alacaklarının tahsili amacı da dahil olmak üzere haczedilemez, üzerine ihtiyati tedbir konulamaz ve iflas masasına dahil edilemez.</w:t>
      </w:r>
    </w:p>
    <w:p w14:paraId="346CA424" w14:textId="77777777" w:rsidR="00746780" w:rsidRPr="00EC42EC" w:rsidRDefault="00746780" w:rsidP="00746780">
      <w:pPr>
        <w:ind w:firstLine="709"/>
        <w:rPr>
          <w:b/>
        </w:rPr>
      </w:pPr>
    </w:p>
    <w:p w14:paraId="46E1D59D" w14:textId="77777777" w:rsidR="00746780" w:rsidRPr="00EC42EC" w:rsidRDefault="00746780" w:rsidP="00746780">
      <w:pPr>
        <w:ind w:firstLine="709"/>
        <w:rPr>
          <w:b/>
          <w:bCs/>
        </w:rPr>
      </w:pPr>
      <w:r w:rsidRPr="00EC42EC">
        <w:rPr>
          <w:b/>
        </w:rPr>
        <w:t xml:space="preserve">4.4. </w:t>
      </w:r>
      <w:r w:rsidRPr="00EC42EC">
        <w:t>Portföy saklayıcısı; fona ait finansal varlıkların saklanması ve/veya kayıtların tutulması, diğer varlıkların aidiyetinin doğrulanması ve takibi, kayıtlarının tutulması, varlık ve nakit hareketlerine ilişkin işlemlerin yerine getirilmesinin kontrolü ile mevzuatta belirtilen diğer görevlerin yerine getirilmesinden sorumludur. Bu kapsamda, portföy saklayıcısı;</w:t>
      </w:r>
    </w:p>
    <w:p w14:paraId="60CCCE63" w14:textId="77777777" w:rsidR="00746780" w:rsidRPr="00EC42EC" w:rsidRDefault="00746780" w:rsidP="00746780">
      <w:pPr>
        <w:ind w:firstLine="709"/>
      </w:pPr>
      <w:r w:rsidRPr="00EC42EC">
        <w:t>a) Yatırım fonları hesabına katılma paylarının ihraç ve itfa edilmesi işlemlerinin mevzuat ve fon içtüzüğü hükümlerine uygunluğunu,</w:t>
      </w:r>
    </w:p>
    <w:p w14:paraId="2C168A73" w14:textId="77777777" w:rsidR="00746780" w:rsidRPr="00EC42EC" w:rsidRDefault="00746780" w:rsidP="00746780">
      <w:pPr>
        <w:ind w:firstLine="709"/>
      </w:pPr>
      <w:r w:rsidRPr="00EC42EC">
        <w:t>b) Yatırım fonu birim katılma payı veya birim pay değerinin mevzuat ile fon içtüzüğü, izahname hükümleri çerçevesinde belirlenen değerleme esaslarına göre hesaplanmasını,</w:t>
      </w:r>
    </w:p>
    <w:p w14:paraId="77CA397D" w14:textId="77777777" w:rsidR="00746780" w:rsidRPr="00EC42EC" w:rsidRDefault="00364E4D" w:rsidP="00746780">
      <w:pPr>
        <w:ind w:firstLine="709"/>
      </w:pPr>
      <w:r>
        <w:t>c</w:t>
      </w:r>
      <w:r w:rsidR="00746780" w:rsidRPr="00EC42EC">
        <w:t>) Mevzuat ile fon içtüzüğü, izahname hükümlerine aykırı olmamak şartıyla, Kurucu/Yönetici’nin talimatlarının yerine getirilmesini,</w:t>
      </w:r>
    </w:p>
    <w:p w14:paraId="240C56D7" w14:textId="77777777" w:rsidR="00746780" w:rsidRPr="00EC42EC" w:rsidRDefault="00364E4D" w:rsidP="00746780">
      <w:pPr>
        <w:ind w:firstLine="709"/>
      </w:pPr>
      <w:r>
        <w:t>ç</w:t>
      </w:r>
      <w:r w:rsidR="00746780" w:rsidRPr="00EC42EC">
        <w:t>) Fon’un varlıklarıyla ilgili işlemlerinden doğan edimlerine ilişkin bedelin uygun sürede aktarılmasını,</w:t>
      </w:r>
    </w:p>
    <w:p w14:paraId="086C3546" w14:textId="77777777" w:rsidR="00746780" w:rsidRPr="00EC42EC" w:rsidRDefault="00364E4D" w:rsidP="00746780">
      <w:pPr>
        <w:ind w:firstLine="709"/>
      </w:pPr>
      <w:r>
        <w:lastRenderedPageBreak/>
        <w:t>d</w:t>
      </w:r>
      <w:r w:rsidR="00746780" w:rsidRPr="00EC42EC">
        <w:t>) Fon’un gelirlerinin mevzuat ile fon içtüzüğü, izahname hükümlerine uygun olarak kullanılmasını,</w:t>
      </w:r>
    </w:p>
    <w:p w14:paraId="3A4476A0" w14:textId="77777777" w:rsidR="00746780" w:rsidRPr="00EC42EC" w:rsidRDefault="00364E4D" w:rsidP="00746780">
      <w:pPr>
        <w:ind w:firstLine="709"/>
      </w:pPr>
      <w:r>
        <w:t>e</w:t>
      </w:r>
      <w:r w:rsidR="00746780" w:rsidRPr="00EC42EC">
        <w:t>) Fon’un varlık alım satımlarının, portföy yapısının, işlemlerinin mevzuat, fon içtüzüğü, izahname hükümlerine uygunluğunu</w:t>
      </w:r>
    </w:p>
    <w:p w14:paraId="6F87BACE" w14:textId="77777777" w:rsidR="00746780" w:rsidRPr="00EC42EC" w:rsidRDefault="00746780" w:rsidP="00746780">
      <w:pPr>
        <w:ind w:firstLine="709"/>
      </w:pPr>
      <w:r w:rsidRPr="00EC42EC">
        <w:t>sağlamakla yükümlüdür.</w:t>
      </w:r>
    </w:p>
    <w:p w14:paraId="45165324" w14:textId="77777777" w:rsidR="00746780" w:rsidRPr="00EC42EC" w:rsidRDefault="00746780" w:rsidP="00746780">
      <w:pPr>
        <w:ind w:firstLine="709"/>
      </w:pPr>
    </w:p>
    <w:p w14:paraId="048071E9" w14:textId="77777777" w:rsidR="00746780" w:rsidRPr="00EC42EC" w:rsidRDefault="00746780" w:rsidP="00746780">
      <w:pPr>
        <w:ind w:firstLine="709"/>
      </w:pPr>
      <w:r w:rsidRPr="00EC42EC">
        <w:rPr>
          <w:b/>
          <w:bCs/>
        </w:rPr>
        <w:t>4.5.</w:t>
      </w:r>
      <w:r w:rsidRPr="00EC42EC">
        <w:t xml:space="preserve"> Portföy saklayıcısı;</w:t>
      </w:r>
    </w:p>
    <w:p w14:paraId="4E9EA55A" w14:textId="77777777" w:rsidR="00746780" w:rsidRPr="00EC42EC" w:rsidRDefault="00746780" w:rsidP="00746780">
      <w:pPr>
        <w:ind w:firstLine="709"/>
      </w:pPr>
      <w:r w:rsidRPr="00EC42EC">
        <w:t>a) Fona ait varlıkların ayrı ayrı, fona aidiyeti açıkça belli olacak, kayıp ve hasara uğramayacak şekilde saklanmasını sağlar.</w:t>
      </w:r>
    </w:p>
    <w:p w14:paraId="373A3FE4" w14:textId="77777777" w:rsidR="00746780" w:rsidRPr="00EC42EC" w:rsidRDefault="00746780" w:rsidP="00746780">
      <w:pPr>
        <w:ind w:firstLine="709"/>
      </w:pPr>
      <w:r w:rsidRPr="00EC42EC">
        <w:t>b) Belge ve kayıt düzeninde, fona ait varlıkları, hakları ve bunların hareketlerini fon bazında düzenli olarak takip eder.</w:t>
      </w:r>
    </w:p>
    <w:p w14:paraId="50B1F1A2" w14:textId="77777777" w:rsidR="00746780" w:rsidRPr="00EC42EC" w:rsidRDefault="00746780" w:rsidP="00746780">
      <w:pPr>
        <w:ind w:firstLine="709"/>
      </w:pPr>
      <w:r w:rsidRPr="00EC42EC">
        <w:t>c) Fona ait varlıkları uhdesinde ve diğer kurumlardaki kendi hesaplarında tutamaz ve kendi aktifleriyle ilişkilendiremez.</w:t>
      </w:r>
    </w:p>
    <w:p w14:paraId="03B6B499" w14:textId="77777777" w:rsidR="00746780" w:rsidRPr="00EC42EC" w:rsidRDefault="00746780" w:rsidP="00746780">
      <w:pPr>
        <w:ind w:firstLine="709"/>
      </w:pPr>
      <w:r w:rsidRPr="00EC42EC">
        <w:rPr>
          <w:b/>
          <w:bCs/>
        </w:rPr>
        <w:t>4.6.</w:t>
      </w:r>
      <w:r w:rsidR="00F83F1E">
        <w:rPr>
          <w:b/>
          <w:bCs/>
        </w:rPr>
        <w:t xml:space="preserve"> </w:t>
      </w:r>
      <w:r w:rsidRPr="00EC42EC">
        <w:rPr>
          <w:b/>
          <w:bCs/>
        </w:rPr>
        <w:t>a)</w:t>
      </w:r>
      <w:r w:rsidRPr="00EC42EC">
        <w:t> Portföy saklama hizmetini yürüten kuruluş, yükümlülüklerini yerine getirmemesi nedeniyle Kurucu ve katılma payı sahiplerine verdiği zararlardan sorumludur. Kurucu, Portföy Saklayıcısından; Portföy Saklayıcısı da Kurucu’dan, Kanun ve Saklama Tebliği hükümlerinin ihlâli nedeniyle doğan zararların giderilmesini talep etmekle yükümlüdür. Katılma payı sahiplerinin Kurucu veya Portföy Saklayıcısına dava açma hakkı saklıdır.</w:t>
      </w:r>
    </w:p>
    <w:p w14:paraId="133B04E9" w14:textId="77777777" w:rsidR="00746780" w:rsidRPr="00EC42EC" w:rsidRDefault="00746780" w:rsidP="00746780">
      <w:pPr>
        <w:ind w:firstLine="709"/>
      </w:pPr>
    </w:p>
    <w:p w14:paraId="5A382261" w14:textId="77777777" w:rsidR="00746780" w:rsidRPr="00EC42EC" w:rsidRDefault="00746780" w:rsidP="00746780">
      <w:pPr>
        <w:ind w:firstLine="709"/>
      </w:pPr>
      <w:r w:rsidRPr="00EC42EC">
        <w:rPr>
          <w:b/>
          <w:bCs/>
        </w:rPr>
        <w:t xml:space="preserve">     b) </w:t>
      </w:r>
      <w:r w:rsidRPr="00EC42EC">
        <w:t>Portföy saklayıcısı, portföy saklama hizmeti verdiği portföylerin yönetiminden veya piyasadaki fiyat hareketlerinden kaynaklanan zararlardan sorumlu değildir.</w:t>
      </w:r>
    </w:p>
    <w:p w14:paraId="368BC4DF" w14:textId="77777777" w:rsidR="00746780" w:rsidRPr="00EC42EC" w:rsidRDefault="00746780" w:rsidP="00746780">
      <w:pPr>
        <w:ind w:firstLine="709"/>
      </w:pPr>
    </w:p>
    <w:p w14:paraId="2B0C6C7D" w14:textId="77777777" w:rsidR="00746780" w:rsidRPr="00EC42EC" w:rsidRDefault="00746780" w:rsidP="00746780">
      <w:pPr>
        <w:ind w:firstLine="709"/>
      </w:pPr>
      <w:r w:rsidRPr="00EC42EC">
        <w:t>    </w:t>
      </w:r>
      <w:r w:rsidRPr="00EC42EC">
        <w:rPr>
          <w:b/>
        </w:rPr>
        <w:t>c)</w:t>
      </w:r>
      <w:r w:rsidRPr="00EC42EC">
        <w:t xml:space="preserve"> Portföy Saklayıcısı, 6362 sayılı Sermaye Piyasası Kanun ve ilgili diğer mevzuattan kaynaklanan yükümlülüklerini yerine getirmemesi nedeniyle katılma payı sahiplerine karşı sorumludur.</w:t>
      </w:r>
    </w:p>
    <w:p w14:paraId="16AACA35" w14:textId="77777777" w:rsidR="00746780" w:rsidRPr="00EC42EC" w:rsidRDefault="00746780" w:rsidP="00746780">
      <w:pPr>
        <w:ind w:firstLine="709"/>
      </w:pPr>
    </w:p>
    <w:p w14:paraId="311C2214" w14:textId="77777777" w:rsidR="00746780" w:rsidRPr="00EC42EC" w:rsidRDefault="00746780" w:rsidP="00746780">
      <w:pPr>
        <w:ind w:firstLine="709"/>
      </w:pPr>
    </w:p>
    <w:p w14:paraId="1F543667" w14:textId="77777777" w:rsidR="00746780" w:rsidRPr="00EC42EC" w:rsidRDefault="00746780" w:rsidP="00746780">
      <w:pPr>
        <w:ind w:firstLine="709"/>
      </w:pPr>
      <w:r w:rsidRPr="00EC42EC">
        <w:rPr>
          <w:b/>
        </w:rPr>
        <w:t>4.7.</w:t>
      </w:r>
      <w:r w:rsidRPr="00EC42EC">
        <w:t xml:space="preserve"> Portföy saklayıcısı, saklama hizmetinin fonksiyonel ve hiyerarşik olarak diğer hizmetlerden ayrıştırılması, potansiyel çıkar çatışmalarının düzgün bir şekilde belirlenmesi, önlenmesi, önlenemiyorsa yönetilmesi, gözetimi ve bu durumun fon yatırımcılarına açıklanması kaydıyla fona portföy değerleme, operasyon ve muhasebe hizmetleri, katılma payı alım satımına aracılık hizmeti ve Kurulca uygun görülecek diğer hizmetleri verebilir.</w:t>
      </w:r>
    </w:p>
    <w:p w14:paraId="7CB7DEC9" w14:textId="77777777" w:rsidR="00746780" w:rsidRPr="00EC42EC" w:rsidRDefault="00746780" w:rsidP="00746780">
      <w:pPr>
        <w:ind w:firstLine="709"/>
      </w:pPr>
    </w:p>
    <w:p w14:paraId="34EACF43" w14:textId="77777777" w:rsidR="00746780" w:rsidRPr="00EC42EC" w:rsidRDefault="00746780" w:rsidP="00746780">
      <w:pPr>
        <w:ind w:firstLine="709"/>
      </w:pPr>
      <w:r w:rsidRPr="00EC42EC">
        <w:rPr>
          <w:b/>
        </w:rPr>
        <w:t>4.8.</w:t>
      </w:r>
      <w:r w:rsidRPr="00EC42EC">
        <w:t xml:space="preserve"> Portföy saklayıcısı her gün itibari ile saklamaya konu varlıkların mutabakatını, bu varlıklara merkezi saklama hizmeti veren kurumlar ve Kurucu veya yatırım ortaklığı ile yapar.</w:t>
      </w:r>
    </w:p>
    <w:p w14:paraId="2F1E1C20" w14:textId="77777777" w:rsidR="00746780" w:rsidRPr="00EC42EC" w:rsidRDefault="00746780" w:rsidP="00746780">
      <w:pPr>
        <w:ind w:firstLine="709"/>
      </w:pPr>
    </w:p>
    <w:p w14:paraId="3129C8D9" w14:textId="77777777" w:rsidR="00746780" w:rsidRPr="00EC42EC" w:rsidRDefault="00746780" w:rsidP="00746780">
      <w:pPr>
        <w:ind w:firstLine="709"/>
      </w:pPr>
      <w:r w:rsidRPr="00EC42EC">
        <w:rPr>
          <w:b/>
        </w:rPr>
        <w:t>4.9.</w:t>
      </w:r>
      <w:r w:rsidRPr="00EC42EC">
        <w:t xml:space="preserve"> Portföy saklayıcısı portföy saklama hizmetini yürütürken karşılaşabileceği çıkar çatışmalarının tanımlanmasını, önlenmesini, yönetimini, gözetimini ve açıklanmasını sağlayacak gerekli politikaları oluşturmak ve bunları uygulamakla yükümlüdür.</w:t>
      </w:r>
    </w:p>
    <w:p w14:paraId="2B0B02C7" w14:textId="77777777" w:rsidR="00746780" w:rsidRPr="00EC42EC" w:rsidRDefault="00746780" w:rsidP="00746780">
      <w:pPr>
        <w:ind w:firstLine="709"/>
      </w:pPr>
    </w:p>
    <w:p w14:paraId="60764CE1" w14:textId="77777777" w:rsidR="00746780" w:rsidRPr="00EC42EC" w:rsidRDefault="00746780" w:rsidP="00746780">
      <w:pPr>
        <w:ind w:firstLine="709"/>
      </w:pPr>
      <w:r w:rsidRPr="00EC42EC">
        <w:rPr>
          <w:b/>
        </w:rPr>
        <w:t>4.10.</w:t>
      </w:r>
      <w:r w:rsidRPr="00EC42EC">
        <w:t xml:space="preserve"> Kurucu’nun üçüncü kişilere olan borçları ve yükümlülükleri ile Fon’un aynı üçüncü kişilerden olan alacakları birbirlerine karşı mahsup edilemez.</w:t>
      </w:r>
    </w:p>
    <w:p w14:paraId="3570439B" w14:textId="77777777" w:rsidR="00746780" w:rsidRPr="00EC42EC" w:rsidRDefault="00746780" w:rsidP="00746780">
      <w:pPr>
        <w:ind w:firstLine="709"/>
      </w:pPr>
    </w:p>
    <w:p w14:paraId="2EDE726B" w14:textId="77777777" w:rsidR="00746780" w:rsidRPr="00EC42EC" w:rsidRDefault="00746780" w:rsidP="00746780">
      <w:pPr>
        <w:ind w:firstLine="709"/>
      </w:pPr>
      <w:r w:rsidRPr="00EC42EC">
        <w:rPr>
          <w:b/>
        </w:rPr>
        <w:t>4.11.</w:t>
      </w:r>
      <w:r w:rsidRPr="00EC42EC">
        <w:t xml:space="preserve"> Portföy saklama hizmetini yürüten kuruluş, yükümlülüklerini yerine getirmemesi nedeniyle Kurucu ve katılma payı sahiplerine verdiği zararlardan sorumludur.</w:t>
      </w:r>
    </w:p>
    <w:p w14:paraId="26D835EF" w14:textId="77777777" w:rsidR="00746780" w:rsidRPr="00EC42EC" w:rsidRDefault="00746780" w:rsidP="00746780">
      <w:pPr>
        <w:ind w:firstLine="709"/>
      </w:pPr>
    </w:p>
    <w:p w14:paraId="4F99DB1A" w14:textId="5C399617" w:rsidR="00746780" w:rsidRPr="00EC42EC" w:rsidRDefault="00746780" w:rsidP="00CB4FC4">
      <w:pPr>
        <w:ind w:firstLine="709"/>
      </w:pPr>
      <w:r w:rsidRPr="00EC42EC">
        <w:rPr>
          <w:b/>
        </w:rPr>
        <w:lastRenderedPageBreak/>
        <w:t>4.12.</w:t>
      </w:r>
      <w:r w:rsidRPr="00EC42EC">
        <w:t xml:space="preserve"> Kurucu, Portföy Saklayıcısından; Portföy Saklayıcısı da Kurucu’dan, Kanun ve Saklama</w:t>
      </w:r>
      <w:r w:rsidR="00CB4FC4">
        <w:t xml:space="preserve"> </w:t>
      </w:r>
      <w:r w:rsidRPr="00EC42EC">
        <w:t>Tebliği hükümlerinin ihlâli nedeniyle doğan zararların giderilmesini talep etmekle yükümlüdür. Katılma payı sahiplerinin Kurucu veya Portföy Saklayıcısına dava açma hakkı saklıdır.</w:t>
      </w:r>
    </w:p>
    <w:p w14:paraId="5C776702" w14:textId="77777777" w:rsidR="00746780" w:rsidRPr="00EC42EC" w:rsidRDefault="00746780" w:rsidP="00746780">
      <w:pPr>
        <w:ind w:firstLine="709"/>
      </w:pPr>
    </w:p>
    <w:p w14:paraId="6BB7AD83" w14:textId="77777777" w:rsidR="00746780" w:rsidRPr="00EC42EC" w:rsidRDefault="00746780" w:rsidP="00746780">
      <w:pPr>
        <w:ind w:firstLine="709"/>
      </w:pPr>
      <w:r w:rsidRPr="00EC42EC">
        <w:rPr>
          <w:b/>
        </w:rPr>
        <w:t>4.13.</w:t>
      </w:r>
      <w:r w:rsidRPr="00EC42EC">
        <w:t xml:space="preserve"> Portföy saklayıcısı, portföy saklama hizmeti verdiği portföylerin yönetiminden veya piyasadaki fiyat hareketlerinden kaynaklanan zararlardan sorumlu değildir.</w:t>
      </w:r>
    </w:p>
    <w:p w14:paraId="0088691D" w14:textId="77777777" w:rsidR="00746780" w:rsidRPr="00EC42EC" w:rsidRDefault="00746780" w:rsidP="00746780">
      <w:pPr>
        <w:ind w:firstLine="709"/>
      </w:pPr>
    </w:p>
    <w:p w14:paraId="0C352E04" w14:textId="77777777" w:rsidR="00746780" w:rsidRPr="00EC42EC" w:rsidRDefault="00746780" w:rsidP="00746780">
      <w:pPr>
        <w:ind w:firstLine="709"/>
      </w:pPr>
      <w:r w:rsidRPr="00EC42EC">
        <w:rPr>
          <w:b/>
        </w:rPr>
        <w:t>4.14.</w:t>
      </w:r>
      <w:r w:rsidRPr="00EC42EC">
        <w:t xml:space="preserve"> Portföy Saklayıcısı, 6362 sayılı Sermaye Piyasası Kanun ve ilgili diğer mevzuattan kaynaklanan yükümlülüklerini yerine getirmemesi nedeniyle katılma payı sahiplerine karşı sorumludur.</w:t>
      </w:r>
    </w:p>
    <w:p w14:paraId="6F3316EF" w14:textId="77777777" w:rsidR="00746780" w:rsidRPr="00EC42EC" w:rsidRDefault="00746780" w:rsidP="00746780">
      <w:pPr>
        <w:ind w:firstLine="709"/>
      </w:pPr>
    </w:p>
    <w:p w14:paraId="28C73CD0" w14:textId="4B999FCB" w:rsidR="00746780" w:rsidRPr="00FF6157" w:rsidRDefault="00746780" w:rsidP="00FF6157">
      <w:pPr>
        <w:ind w:firstLine="709"/>
      </w:pPr>
      <w:r w:rsidRPr="00EC42EC">
        <w:rPr>
          <w:b/>
        </w:rPr>
        <w:t>4.15.</w:t>
      </w:r>
      <w:r w:rsidRPr="00EC42EC">
        <w:t xml:space="preserve"> Portföy saklama sözleşmesinde portföy saklayıcısının Kanun ve Saklama Tebliği hükümleri ile belirlenmiş olan sorumluluklarının kapsamını daraltıcı hükümlere yer verilemez.</w:t>
      </w:r>
    </w:p>
    <w:p w14:paraId="5ABDDAC6" w14:textId="77777777" w:rsidR="00CB4FC4" w:rsidRPr="00EC42EC" w:rsidRDefault="00CB4FC4" w:rsidP="00746780">
      <w:pPr>
        <w:ind w:firstLine="709"/>
        <w:rPr>
          <w:b/>
        </w:rPr>
      </w:pPr>
    </w:p>
    <w:p w14:paraId="5D53CA7C" w14:textId="77777777" w:rsidR="00746780" w:rsidRPr="00EC42EC" w:rsidRDefault="00746780" w:rsidP="00746780">
      <w:pPr>
        <w:ind w:firstLine="709"/>
        <w:rPr>
          <w:b/>
        </w:rPr>
      </w:pPr>
      <w:r w:rsidRPr="00EC42EC">
        <w:rPr>
          <w:b/>
        </w:rPr>
        <w:t>V.</w:t>
      </w:r>
      <w:r w:rsidRPr="00EC42EC">
        <w:t xml:space="preserve"> </w:t>
      </w:r>
      <w:r w:rsidRPr="00EC42EC">
        <w:rPr>
          <w:b/>
        </w:rPr>
        <w:t>FON BİRİM PAY DEĞERİNİN, FON TOPLAM DEĞERİNİN VE FON PORTFÖY DEĞERİNİN BELİRLENME ESASLARI</w:t>
      </w:r>
    </w:p>
    <w:p w14:paraId="728BD6E1" w14:textId="77777777" w:rsidR="00746780" w:rsidRPr="00EC42EC" w:rsidRDefault="00746780" w:rsidP="00746780">
      <w:pPr>
        <w:pStyle w:val="Balk2"/>
        <w:ind w:firstLine="709"/>
        <w:rPr>
          <w:sz w:val="24"/>
          <w:szCs w:val="24"/>
        </w:rPr>
      </w:pPr>
    </w:p>
    <w:p w14:paraId="79BF5BCA" w14:textId="77777777" w:rsidR="00746780" w:rsidRPr="00EC42EC" w:rsidRDefault="00746780" w:rsidP="00746780">
      <w:pPr>
        <w:ind w:firstLine="708"/>
        <w:rPr>
          <w:b/>
        </w:rPr>
      </w:pPr>
      <w:r w:rsidRPr="00EC42EC">
        <w:rPr>
          <w:b/>
        </w:rPr>
        <w:t xml:space="preserve">5.1. </w:t>
      </w:r>
      <w:r w:rsidRPr="00EC42EC">
        <w:t>"Fon Portföy Değeri", portföydeki varlıkların Finansal Raporlama Tebliği’nde belirlenen ilkeler çerçevesinde hesaplanan değerlerinin toplamıdır. “Fon Toplam Değeri” ise, Fon Portföy Değerine varsa diğer varlıkların eklenmesi ve borçların düşülmesi suretiyle hesaplanır.</w:t>
      </w:r>
      <w:r w:rsidRPr="00EC42EC">
        <w:rPr>
          <w:b/>
        </w:rPr>
        <w:t xml:space="preserve"> </w:t>
      </w:r>
    </w:p>
    <w:p w14:paraId="3D313D82" w14:textId="77777777" w:rsidR="00746780" w:rsidRPr="00EC42EC" w:rsidRDefault="00746780" w:rsidP="00746780">
      <w:pPr>
        <w:ind w:firstLine="708"/>
      </w:pPr>
    </w:p>
    <w:p w14:paraId="25117813" w14:textId="77777777" w:rsidR="00746780" w:rsidRPr="00EC42EC" w:rsidRDefault="00746780" w:rsidP="00746780">
      <w:pPr>
        <w:ind w:firstLine="708"/>
      </w:pPr>
      <w:r w:rsidRPr="00EC42EC">
        <w:rPr>
          <w:b/>
        </w:rPr>
        <w:t>5.2.</w:t>
      </w:r>
      <w:r w:rsidRPr="00EC42EC">
        <w:t xml:space="preserve"> Fon’un birim pay değeri, fon toplam değerinin fon toplam pay sayısına bölünmesi suretiyle hesaplanır. Bu değer her iş günü sonu</w:t>
      </w:r>
      <w:r>
        <w:t xml:space="preserve"> itibarıyla Finansal Raporlama Tebliğinde belirlenen ilkeler çerçevesinde hesaplanır ve katılma paylarının alım-satım yerlerinde ilan edilir.</w:t>
      </w:r>
      <w:r w:rsidRPr="00EC42EC">
        <w:rPr>
          <w:b/>
        </w:rPr>
        <w:t xml:space="preserve"> </w:t>
      </w:r>
    </w:p>
    <w:p w14:paraId="2A382E32" w14:textId="77777777" w:rsidR="00746780" w:rsidRPr="00EC42EC" w:rsidRDefault="00746780" w:rsidP="00746780">
      <w:pPr>
        <w:ind w:firstLine="709"/>
      </w:pPr>
    </w:p>
    <w:p w14:paraId="4850FDF8" w14:textId="77777777" w:rsidR="00746780" w:rsidRPr="00EC42EC" w:rsidRDefault="00746780" w:rsidP="00746780">
      <w:pPr>
        <w:ind w:firstLine="709"/>
      </w:pPr>
      <w:r w:rsidRPr="00EC42EC">
        <w:rPr>
          <w:b/>
        </w:rPr>
        <w:t>5.3</w:t>
      </w:r>
      <w:r w:rsidRPr="00EC42EC">
        <w:t>. Savaş, doğal afetler, ekonomik kriz, iletişim sistemlerinin çökmesi, portföydeki varlıkların ilgili olduğu pazarın, piyasanın, platformun kapanması, bilgisayar sistemlerinde meydana gelebilecek arızalar, şirketin mali durumunu etkileyebilecek önemli bir bilginin ortaya çıkması gibi olağanüstü durumların meydana gelmesi halinde, değerleme esaslarının tespiti hususunda Kurucu’nun yönetim kurulu karar alabilir. Ayrıca söz konusu olaylarla ilgili olarak KAP’ta açıklama yapılır.</w:t>
      </w:r>
    </w:p>
    <w:p w14:paraId="662BE9B5" w14:textId="77777777" w:rsidR="00746780" w:rsidRPr="00EC42EC" w:rsidRDefault="00746780" w:rsidP="00746780">
      <w:pPr>
        <w:ind w:firstLine="709"/>
      </w:pPr>
    </w:p>
    <w:p w14:paraId="3DB1C40F" w14:textId="77777777" w:rsidR="00746780" w:rsidRPr="00EC42EC" w:rsidRDefault="00746780" w:rsidP="00746780">
      <w:pPr>
        <w:ind w:firstLine="709"/>
      </w:pPr>
      <w:r w:rsidRPr="00EC42EC">
        <w:rPr>
          <w:b/>
        </w:rPr>
        <w:t>5.4.</w:t>
      </w:r>
      <w:r w:rsidRPr="00EC42EC">
        <w:t xml:space="preserve"> 5.3. numaralı maddede belirtilen durumlarda, Kurulca uygun görülmesi halinde, katılma paylarının birim pay değerleri hesaplanmayabilir ve katılma paylarının alım satımı durdurulabilir.</w:t>
      </w:r>
    </w:p>
    <w:p w14:paraId="67BB3E3A" w14:textId="77777777" w:rsidR="00746780" w:rsidRPr="00EC42EC" w:rsidRDefault="00746780" w:rsidP="00746780">
      <w:pPr>
        <w:ind w:firstLine="709"/>
      </w:pPr>
    </w:p>
    <w:p w14:paraId="154F1B8D" w14:textId="37905715" w:rsidR="00746780" w:rsidRDefault="00746780" w:rsidP="00746780">
      <w:pPr>
        <w:ind w:firstLine="709"/>
      </w:pPr>
      <w:r w:rsidRPr="00EC42EC">
        <w:rPr>
          <w:b/>
        </w:rPr>
        <w:t>5.5.</w:t>
      </w:r>
      <w:r>
        <w:rPr>
          <w:b/>
        </w:rPr>
        <w:t xml:space="preserve"> </w:t>
      </w:r>
      <w:bookmarkStart w:id="22" w:name="_Hlk98107294"/>
      <w:r>
        <w:t>Portföydeki varlıkların değerlenmesine</w:t>
      </w:r>
      <w:r w:rsidRPr="00EC42EC">
        <w:rPr>
          <w:b/>
        </w:rPr>
        <w:t xml:space="preserve"> </w:t>
      </w:r>
      <w:r w:rsidRPr="00EC42EC">
        <w:t>ilişkin olarak, Finansal Raporlama Tebliği uyarınca TMS/TFRS dikkate alınara</w:t>
      </w:r>
      <w:r>
        <w:t>k</w:t>
      </w:r>
      <w:r w:rsidRPr="00EC42EC">
        <w:t xml:space="preserve"> Kurucu yönetim kurulu kararı ile belirlenen değerleme esasları aşağıdaki gibidir</w:t>
      </w:r>
      <w:r>
        <w:t>:</w:t>
      </w:r>
    </w:p>
    <w:p w14:paraId="37698736" w14:textId="66750080" w:rsidR="00045885" w:rsidRDefault="00045885" w:rsidP="00746780">
      <w:pPr>
        <w:ind w:firstLine="709"/>
      </w:pPr>
    </w:p>
    <w:p w14:paraId="464A954A" w14:textId="77777777" w:rsidR="00746780" w:rsidRPr="00637030" w:rsidRDefault="00746780" w:rsidP="00746780">
      <w:pPr>
        <w:ind w:firstLine="709"/>
      </w:pPr>
      <w:r w:rsidRPr="00ED32E8">
        <w:rPr>
          <w:b/>
          <w:bCs/>
        </w:rPr>
        <w:t>Borsa Dışı Türev Araç ve Swap sözleşmelerine ilişkin değerleme</w:t>
      </w:r>
    </w:p>
    <w:bookmarkEnd w:id="22"/>
    <w:p w14:paraId="364E14F2" w14:textId="77777777" w:rsidR="00746780" w:rsidRPr="00637030" w:rsidRDefault="00746780" w:rsidP="00746780">
      <w:pPr>
        <w:ind w:firstLine="709"/>
      </w:pPr>
      <w:r w:rsidRPr="00637030">
        <w:t xml:space="preserve">Portföye alınması aşamasında türev araç ve swap sözleşmesinin değerlemesinde güncel fiyat kullanılır. </w:t>
      </w:r>
    </w:p>
    <w:p w14:paraId="6C865251" w14:textId="77777777" w:rsidR="00746780" w:rsidRDefault="00746780" w:rsidP="00746780">
      <w:pPr>
        <w:ind w:firstLine="709"/>
      </w:pPr>
      <w:r w:rsidRPr="00637030">
        <w:t>Opsiyon sözleşmelerinde güncel fiyat karşı taraftan alınan fiyat kotasyonudur.</w:t>
      </w:r>
    </w:p>
    <w:p w14:paraId="7810D56C" w14:textId="77777777" w:rsidR="00746780" w:rsidRDefault="00746780" w:rsidP="00746780">
      <w:pPr>
        <w:ind w:firstLine="709"/>
      </w:pPr>
      <w:r>
        <w:lastRenderedPageBreak/>
        <w:t xml:space="preserve">Fonun fiyat açıklama dönemlerinde opsiyon sözleşmeleri için; değerlemede kullanılmak üzere güncel piyasa fiyatının bulunmadığı durumlarda ve karşı taraftan fiyat kotasyonu alınamadığı durumlarda teorik fiyat hesaplanarak değerleme yapılır. </w:t>
      </w:r>
    </w:p>
    <w:p w14:paraId="38D894EF" w14:textId="77777777" w:rsidR="00746780" w:rsidRDefault="00746780" w:rsidP="00746780">
      <w:pPr>
        <w:ind w:firstLine="709"/>
      </w:pPr>
      <w:r>
        <w:t xml:space="preserve">Fon hizmet birimi tarafından tarafından Black&amp;Scholes modeli, Binomial model veya Monte-Carlo simülasyonu yöntemlerinden değerlemeye esas varlığa uygun olanı tercih edilerek teorik fiyat bulunmaktadır. </w:t>
      </w:r>
      <w:r w:rsidRPr="00637030">
        <w:t xml:space="preserve"> </w:t>
      </w:r>
    </w:p>
    <w:p w14:paraId="67D662AC" w14:textId="77777777" w:rsidR="00746780" w:rsidRDefault="00746780" w:rsidP="00746780">
      <w:pPr>
        <w:ind w:firstLine="709"/>
      </w:pPr>
      <w:r>
        <w:t>Fonların değerleme ve muhasebe işlemlerini yürüten Fon Hizmet Birimi tarafından hesaplanan değerleme fiyatı, portföy yönetiminden bağımsız Risk Yönetimi Birimi'ne doğrulanmak üzere iletilmektedir. İlgili fiyatı doğrulamak üzere teorik fiyat, Risk Yönetimi Birimi tarafından genel kabul görmüş Black&amp;Scholes modeli, Binomial model veya MonteCarlo simülasyonu yöntemlerinden değerlemeye esas varlığa uygun olanı tercih edilerek hesaplanır. Opsiyon değerlemede dayanak varlığın spot fiyatı olarak yukarıda bahsedilen yöntemler kullanılacaktır. Spot fiyatın yanında ilgili değerlemede diğer kurum/kuruluşlardan veya piyasadan temin edilebildiği durumda zımni (implied), aksi halde tarihsel (historical) volatilite değerleri kullanılacaktır. Hesaplama için Bloomberg opsiyon hesaplama ekranlarından değerlemeye esas varlığa uygun olanı tercih edilir. Bunun yanında ilgili ekranlara ek olarak Kurucu nezdinde yukarıdaki modeller baz alınarak geliştirilen diğer hesaplama araçları da kullanılabilir. Bu yöntemlerle elde edilen ve 100 baz puanlık yüzdesel prim alış/satış kotasyonu ile hesaplanan alış (bid) veya satış (ask) fiyatı kullanılacaktır. Hesaplamalar Rota Portföy Yönetimi A.Ş. Risk Yönetimi Politikası Yönetmeliği çerçevesinde gerçekleştirilir. Risk Yönetimi Birimi tarafından hesaplanan teorik fiyat ile Fon Hizmet Birimi tarafından bildirilen fiyatın uyumlu olması halinde Fon Hizmet Birimi fiyata ilişkin uygunluk bildiriminde bulunularak değerlemede bu fiyat kullanılır. Risk Yönetim birimi tarafından hesaplanan teorik fiyat ile Fon Hizmet Birimi tarafından hesaplanan değerleme fiyatının uyumlu olmaması halinde değerlemede Risk Yönetim Birimi tarafından bildirilen fiyat kullanılır. Ayrıca İç Kontrol Birimi tarafından da gerekli kontroller yapılır.</w:t>
      </w:r>
    </w:p>
    <w:p w14:paraId="26945620" w14:textId="77777777" w:rsidR="00746780" w:rsidRDefault="00746780" w:rsidP="00746780">
      <w:pPr>
        <w:ind w:firstLine="709"/>
      </w:pPr>
    </w:p>
    <w:p w14:paraId="23B8C3D9" w14:textId="77777777" w:rsidR="00746780" w:rsidRPr="00637030" w:rsidRDefault="00746780" w:rsidP="00746780">
      <w:pPr>
        <w:ind w:firstLine="709"/>
      </w:pPr>
      <w:r w:rsidRPr="00637030">
        <w:t>Forward sözleşmelerinde güncel fiyat</w:t>
      </w:r>
      <w:r>
        <w:t xml:space="preserve"> karşı taraftan alınan fiyat kotasyonudur</w:t>
      </w:r>
      <w:r w:rsidRPr="00637030">
        <w:t xml:space="preserve">. </w:t>
      </w:r>
    </w:p>
    <w:p w14:paraId="023E147B" w14:textId="77777777" w:rsidR="00746780" w:rsidRPr="00637030" w:rsidRDefault="00746780" w:rsidP="00746780">
      <w:pPr>
        <w:ind w:firstLine="709"/>
      </w:pPr>
      <w:r w:rsidRPr="00637030">
        <w:t>Fonun fiyat açıklama dönemlerinde</w:t>
      </w:r>
      <w:r>
        <w:t xml:space="preserve"> forward ve swap sözleşmeler için</w:t>
      </w:r>
      <w:r w:rsidRPr="00637030">
        <w:t xml:space="preserve">; </w:t>
      </w:r>
    </w:p>
    <w:p w14:paraId="22A47273" w14:textId="77777777" w:rsidR="00746780" w:rsidRPr="00637030" w:rsidRDefault="00746780" w:rsidP="00746780">
      <w:pPr>
        <w:pStyle w:val="ListeParagraf"/>
        <w:numPr>
          <w:ilvl w:val="0"/>
          <w:numId w:val="33"/>
        </w:numPr>
      </w:pPr>
      <w:r w:rsidRPr="00637030">
        <w:t>Değerlemede kullanılmak üzere güncel piyasa fiyatının bulunmadığı durumlarda ve,</w:t>
      </w:r>
    </w:p>
    <w:p w14:paraId="19C76F5D" w14:textId="77777777" w:rsidR="00746780" w:rsidRDefault="00746780" w:rsidP="00746780">
      <w:pPr>
        <w:pStyle w:val="ListeParagraf"/>
        <w:numPr>
          <w:ilvl w:val="0"/>
          <w:numId w:val="33"/>
        </w:numPr>
      </w:pPr>
      <w:r w:rsidRPr="00637030">
        <w:t>Karşı taraftan fiyat kotasyonu alınamadığı durumlarda;</w:t>
      </w:r>
    </w:p>
    <w:p w14:paraId="1307F524" w14:textId="3F01D6B8" w:rsidR="00746780" w:rsidRDefault="00746780" w:rsidP="00746780">
      <w:pPr>
        <w:ind w:left="709"/>
      </w:pPr>
      <w:r>
        <w:t>Teorik fiyat hesaplanarak değerleme yapılır.</w:t>
      </w:r>
    </w:p>
    <w:p w14:paraId="44972DAE" w14:textId="77777777" w:rsidR="006C1F0B" w:rsidRPr="00637030" w:rsidRDefault="006C1F0B" w:rsidP="00746780">
      <w:pPr>
        <w:ind w:left="709"/>
      </w:pPr>
    </w:p>
    <w:p w14:paraId="2CCD33E4" w14:textId="622F3934" w:rsidR="006C1F0B" w:rsidRDefault="006C1F0B" w:rsidP="006C1F0B">
      <w:pPr>
        <w:spacing w:after="60"/>
      </w:pPr>
      <w:r>
        <w:tab/>
        <w:t>Forward sözleşmeler için dayanak varlığın spot fiyatı baz alınarak teorik fiyat hesaplanmaktadır. Dayanak varlığın spot fiyatı olarak Finansal Raporlama Tebliği’nin 9. maddesinde yer alan esaslara göre bulunan dayanak varlık spot değerlerine değerleme günü ile forward işlemin vade tarihi arasındaki gün sayısına tekabul eden uygun TL faizi ile ilerletilecek ve teorik fiyata ulaşılacaktır. Farklı dayanak varlığın kullanılması durumunda ise piyasa fiyatını en iyi yansıtacak yöntemler kullanılır.</w:t>
      </w:r>
    </w:p>
    <w:p w14:paraId="62988399" w14:textId="6BA9FFD3" w:rsidR="006C1F0B" w:rsidRDefault="006C1F0B" w:rsidP="006601B7">
      <w:pPr>
        <w:spacing w:after="60"/>
        <w:ind w:firstLine="708"/>
      </w:pPr>
      <w:r>
        <w:t>Swap sözleşmelerinde ise, swap sözleşmelerinin nitelik açısından pek çok farklı form altında yapılabilecek olmaları nedeniyle, swap sözleşmelerinin değerlemesine esas teşkil eden yerel faiz ya da diğer değerleme faktörleri hakkındaki bilgiler belgelendirilecek olup, teorik fiyat hesaplamasında; sözleşmenin konusuna göre borçlanma aracı fiyatlaması yöntemi (IRR) yada FRA (Forward Rate Agreement) yöntemi gibi bugünkü değer hesaplama yöntemleri ile sözleşmenin niteliğine uygun diğer genel kabul görmüş teorik fiyatlama yöntemleri kullanılacaktır.</w:t>
      </w:r>
    </w:p>
    <w:p w14:paraId="00B2528D" w14:textId="77777777" w:rsidR="006C1F0B" w:rsidRDefault="006C1F0B" w:rsidP="006601B7">
      <w:pPr>
        <w:spacing w:after="60"/>
        <w:ind w:firstLine="708"/>
      </w:pPr>
      <w:r>
        <w:lastRenderedPageBreak/>
        <w:t xml:space="preserve">Bu doğrultuda, </w:t>
      </w:r>
    </w:p>
    <w:p w14:paraId="5415AAE9" w14:textId="77777777" w:rsidR="006C1F0B" w:rsidRDefault="006C1F0B" w:rsidP="006C1F0B">
      <w:pPr>
        <w:spacing w:after="60"/>
      </w:pPr>
      <w:r>
        <w:t>- Konusu faiz olan swap işlemlerinde, Bloomberg, Reuters gibi bağımsız ve güvenilir veri sağlayıcılardan elde edilen ilgili para birimlerinin LIBOR ve zımni faiz oranları baz alınarak yürütülen değerleme fiyatı ile hesaplanır.</w:t>
      </w:r>
    </w:p>
    <w:p w14:paraId="1E484279" w14:textId="77777777" w:rsidR="00746780" w:rsidRDefault="00746780" w:rsidP="00746780">
      <w:pPr>
        <w:ind w:firstLine="708"/>
      </w:pPr>
    </w:p>
    <w:p w14:paraId="552AEC34" w14:textId="7CAAB9E9" w:rsidR="00746780" w:rsidRDefault="00746780" w:rsidP="00746780">
      <w:pPr>
        <w:ind w:firstLine="708"/>
      </w:pPr>
      <w:r w:rsidRPr="00C75C62">
        <w:rPr>
          <w:b/>
          <w:bCs/>
        </w:rPr>
        <w:t>Yapılandırılmış Yatırım/Borçlanma Araçları Değerleme Esasları:</w:t>
      </w:r>
      <w:r>
        <w:t xml:space="preserve"> </w:t>
      </w:r>
    </w:p>
    <w:p w14:paraId="3CAB2D7C" w14:textId="77777777" w:rsidR="006C1F0B" w:rsidRDefault="006C1F0B" w:rsidP="00746780">
      <w:pPr>
        <w:ind w:firstLine="708"/>
      </w:pPr>
    </w:p>
    <w:p w14:paraId="6BEFEF0D" w14:textId="7C1E5C49" w:rsidR="006C1F0B" w:rsidRDefault="006C1F0B" w:rsidP="006C1F0B">
      <w:pPr>
        <w:spacing w:after="60"/>
        <w:ind w:firstLine="708"/>
      </w:pPr>
      <w:r>
        <w:t xml:space="preserve">Fonun stratejisine uymak kaydıyla alınan yapılandırılmış yatırım/borçlanma araçlarının seçiminde genel olarak borsada işlem görme şartı aranır. Ancak Türkiye’de ihraç edilmiş yapılandırılmış yatırım/borçlanma araçları için fiyatının veri dağıtım kanalları vasıtasıyla ilan edilmesi halinde bu şart aranmayabilir. </w:t>
      </w:r>
    </w:p>
    <w:p w14:paraId="0E9B1542" w14:textId="77777777" w:rsidR="006C1F0B" w:rsidRDefault="006C1F0B" w:rsidP="006601B7">
      <w:pPr>
        <w:spacing w:after="60"/>
        <w:ind w:firstLine="708"/>
      </w:pPr>
      <w:r>
        <w:t xml:space="preserve">Yapılandırılmış yatırım/borçlanma araçlarının değerlemesinde borsada ilan edilen fiyat kullanılır. İlgili kıymette işlem geçmemesi halinde son fiyat (borsada hiç işlem geçmemesi halinde nitelikli yatırımcılara arz/halka arz fiyatı)kullanılır. Borsada işlem görmeyen ancak veri dağıtım kanalları aracılığıyla fiyatı ilan edilen yapılandırılmış yatırım araçları için değerlemede güncel fiyat kullanılır. </w:t>
      </w:r>
    </w:p>
    <w:p w14:paraId="6E8B4470" w14:textId="77777777" w:rsidR="006C1F0B" w:rsidRDefault="006C1F0B" w:rsidP="006601B7">
      <w:pPr>
        <w:spacing w:after="60"/>
        <w:ind w:firstLine="708"/>
      </w:pPr>
      <w:r>
        <w:t>Kredi temerrüdüne dayalı borçlanma aracı ve/veya benzer yapıdaki borçlanma araçları için borsada işlem görme şartı aranır. İlgili varlıkların değerlemesinde borsada geçen son fiyat veya bulunması halinde veri dağıtım kanalları aracılığıyla ilan edilen güncel fiyat kullanılır.</w:t>
      </w:r>
    </w:p>
    <w:p w14:paraId="60605F03" w14:textId="77777777" w:rsidR="00746780" w:rsidRDefault="00746780" w:rsidP="006601B7"/>
    <w:p w14:paraId="6C29DED6" w14:textId="77777777" w:rsidR="00746780" w:rsidRDefault="00746780" w:rsidP="00746780">
      <w:pPr>
        <w:ind w:firstLine="708"/>
      </w:pPr>
      <w:r w:rsidRPr="00C75C62">
        <w:rPr>
          <w:b/>
          <w:bCs/>
        </w:rPr>
        <w:t>İleri Valörlü Tahvil-Bono İşlemlerin Değerleme Esasları:</w:t>
      </w:r>
      <w:r>
        <w:t xml:space="preserve"> </w:t>
      </w:r>
    </w:p>
    <w:p w14:paraId="1FA85C65" w14:textId="581ADEFE" w:rsidR="006C1F0B" w:rsidRDefault="006C1F0B" w:rsidP="00746780">
      <w:pPr>
        <w:ind w:firstLine="708"/>
        <w:rPr>
          <w:b/>
          <w:bCs/>
        </w:rPr>
      </w:pPr>
    </w:p>
    <w:p w14:paraId="1ABB840C" w14:textId="77777777" w:rsidR="006C1F0B" w:rsidRDefault="006C1F0B" w:rsidP="006C1F0B">
      <w:pPr>
        <w:spacing w:after="60"/>
        <w:ind w:firstLine="708"/>
      </w:pPr>
      <w:r>
        <w:rPr>
          <w:b/>
          <w:bCs/>
        </w:rPr>
        <w:t>a)</w:t>
      </w:r>
      <w:r>
        <w:t xml:space="preserve"> İleri valörlü alınan Devlet İç Borçlanma Senetleri (DİBS) valör tarihine kadar diğer DİBS’lerin arasına dahil edilmez. İleri valörlü satılan DİBS’ler ise valör tarihine kadar portföy değeri tablosunda kalmaya ve değerlenmeye devam eder. İleri valörlü DİBS alım ve satım işlemleri ayrı bir vadeli işlem sözleşmesi olarak değerlenir. İşlem tutarları ise valör tarihine kadar takastan alacak veya takasa borç olarak takip edilir.</w:t>
      </w:r>
    </w:p>
    <w:p w14:paraId="26C58E23" w14:textId="77777777" w:rsidR="006C1F0B" w:rsidRDefault="006C1F0B" w:rsidP="006C1F0B">
      <w:pPr>
        <w:spacing w:after="60"/>
        <w:ind w:firstLine="708"/>
      </w:pPr>
      <w:r>
        <w:t xml:space="preserve"> </w:t>
      </w:r>
      <w:r>
        <w:rPr>
          <w:b/>
          <w:bCs/>
        </w:rPr>
        <w:t>b)</w:t>
      </w:r>
      <w:r>
        <w:t xml:space="preserve"> İleri valörlü sözleşmenin değeri alış ve satış işlemlerinde aynı yöntemle hesaplanırken işlem alış ise pozitif (+), satış ise negatif (-) bir değer olarak portföy değeri tablosuna yansır. Aynı valörde ve aynı nominal değerde hem alış hem de satış yapılmış ise portföy değeri tablosunda her iki işlem aynı değerde fakat alış işlemi pozitif (+) satış işlemi ise negatif (-) olarak gözükecektir. Bu şekilde açtığı pozisyonu ters işlemle kapatmış olan fonlarda bu işlemler portföy değeri üzerinde bir etki yaratmayacaktır.</w:t>
      </w:r>
    </w:p>
    <w:p w14:paraId="03EA9D06" w14:textId="77777777" w:rsidR="006C1F0B" w:rsidRDefault="006C1F0B" w:rsidP="006C1F0B">
      <w:pPr>
        <w:spacing w:after="60"/>
        <w:ind w:firstLine="708"/>
      </w:pPr>
      <w:r>
        <w:rPr>
          <w:b/>
          <w:bCs/>
        </w:rPr>
        <w:t>c)</w:t>
      </w:r>
      <w:r>
        <w:t xml:space="preserve"> İleri valörlü işlemlerin değerlemesi ise aşağıdaki formüle göre yapılacaktır: </w:t>
      </w:r>
    </w:p>
    <w:p w14:paraId="5A96AD85" w14:textId="77777777" w:rsidR="006C1F0B" w:rsidRDefault="006C1F0B" w:rsidP="006C1F0B">
      <w:pPr>
        <w:spacing w:after="60"/>
      </w:pPr>
      <w:r>
        <w:t xml:space="preserve">İşlemin Değeri = Vade sonu Değeri /(1+Bileşik Faiz/100)* (vkg/365) </w:t>
      </w:r>
    </w:p>
    <w:p w14:paraId="618BA5F3" w14:textId="77777777" w:rsidR="006C1F0B" w:rsidRDefault="006C1F0B" w:rsidP="006C1F0B">
      <w:pPr>
        <w:spacing w:after="60"/>
      </w:pPr>
      <w:r>
        <w:t>Vade Sonu Değer: Alım satım yapılan DİBS’in nominal değeri</w:t>
      </w:r>
    </w:p>
    <w:p w14:paraId="6563B375" w14:textId="77777777" w:rsidR="00063DEE" w:rsidRDefault="00063DEE" w:rsidP="006C1F0B">
      <w:pPr>
        <w:spacing w:after="60"/>
      </w:pPr>
    </w:p>
    <w:p w14:paraId="456A44ED" w14:textId="3FD4E50B" w:rsidR="006C1F0B" w:rsidRDefault="006C1F0B" w:rsidP="00A55BC8">
      <w:pPr>
        <w:spacing w:after="60"/>
        <w:ind w:firstLine="708"/>
      </w:pPr>
      <w:r w:rsidRPr="00A55BC8">
        <w:rPr>
          <w:b/>
        </w:rPr>
        <w:t>Bileşik Faiz:</w:t>
      </w:r>
      <w:r>
        <w:t xml:space="preserve"> Varsa değerleme gününde BİAŞ’ta valör tarihi işlemin valör tarihi ile aynı olan işlemlerin ağırlıklı ortalama faiz oranı, yoksa değerleme gününde BİAŞ’ta aynı gün valörlü gerçekleşen işlemlerin ağırlıklı ortalama faiz oranı, yoksa en son aynı gün valörlü olarak işlem gördüğü gündeki aynı gün valörlü işlemlerin ağırlıklı ortalama faiz oranı, bu da yoksa ihraç tarihindeki bileşik faiz oranıdır.</w:t>
      </w:r>
    </w:p>
    <w:p w14:paraId="12BF937A" w14:textId="2276094F" w:rsidR="00746780" w:rsidRDefault="00746780" w:rsidP="00746780"/>
    <w:p w14:paraId="254FCF40" w14:textId="77777777" w:rsidR="00B34EEF" w:rsidRDefault="00B34EEF" w:rsidP="00746780"/>
    <w:p w14:paraId="5A896D5C" w14:textId="77777777" w:rsidR="00746780" w:rsidRDefault="00746780" w:rsidP="00746780">
      <w:pPr>
        <w:ind w:firstLine="708"/>
      </w:pPr>
      <w:r w:rsidRPr="00BD407A">
        <w:rPr>
          <w:b/>
          <w:bCs/>
        </w:rPr>
        <w:lastRenderedPageBreak/>
        <w:t>Borsa Dışı Repo ve Ters Repo Sözleşmeleri</w:t>
      </w:r>
      <w:r>
        <w:t xml:space="preserve"> </w:t>
      </w:r>
    </w:p>
    <w:p w14:paraId="65354B8B" w14:textId="77777777" w:rsidR="00364E4D" w:rsidRDefault="00364E4D" w:rsidP="00746780">
      <w:pPr>
        <w:ind w:firstLine="708"/>
      </w:pPr>
      <w:r w:rsidRPr="00364E4D">
        <w:t>Borsa dışı repo-ters repo sözleşmelerinde değerlemenin objektif koşullarda yapılması ve adil bir fiyat içermesi esastır.</w:t>
      </w:r>
      <w:r w:rsidR="00E82AF0">
        <w:t xml:space="preserve"> </w:t>
      </w:r>
      <w:r w:rsidR="00E82AF0" w:rsidRPr="00E82AF0">
        <w:t>Borsa dışı repo - ters repo sözleşmeleri vade sonuna kadar işleme ait iç verim oranı ile değerlenir.</w:t>
      </w:r>
    </w:p>
    <w:p w14:paraId="48A00DA1" w14:textId="77777777" w:rsidR="00746780" w:rsidRPr="00C75C62" w:rsidRDefault="00746780" w:rsidP="00746780">
      <w:pPr>
        <w:ind w:firstLine="708"/>
        <w:rPr>
          <w:b/>
          <w:bCs/>
        </w:rPr>
      </w:pPr>
    </w:p>
    <w:p w14:paraId="3F37B62D" w14:textId="77777777" w:rsidR="00746780" w:rsidRDefault="00746780" w:rsidP="00746780">
      <w:pPr>
        <w:ind w:firstLine="709"/>
      </w:pPr>
      <w:r w:rsidRPr="00EC42EC">
        <w:rPr>
          <w:b/>
        </w:rPr>
        <w:t xml:space="preserve">5.6. </w:t>
      </w:r>
      <w:r w:rsidRPr="00EC42EC">
        <w:t>Borsa dışında taraf olunacak sözleşmelere ilişkin olarak aşağıdaki esaslara uyulur:</w:t>
      </w:r>
    </w:p>
    <w:p w14:paraId="5754AA46" w14:textId="77777777" w:rsidR="00746780" w:rsidRDefault="00746780" w:rsidP="00746780">
      <w:pPr>
        <w:ind w:firstLine="709"/>
      </w:pPr>
    </w:p>
    <w:p w14:paraId="661515AC" w14:textId="77777777" w:rsidR="00C67A52" w:rsidRDefault="00C67A52" w:rsidP="00C67A52">
      <w:pPr>
        <w:ind w:firstLine="709"/>
      </w:pPr>
      <w:r>
        <w:t xml:space="preserve">Kurucu nezdinde yer alan ve fon portföy yönetimi biriminden bağımsız olan Risk Yönetimi Birimi 5.5 maddesinde belirtilen varlıkların “adil bir fiyat” içerip içermediğinin değerlendirilmesinden sorumludur. </w:t>
      </w:r>
    </w:p>
    <w:p w14:paraId="51ED43F2" w14:textId="77777777" w:rsidR="00C67A52" w:rsidRDefault="00C67A52" w:rsidP="00C67A52">
      <w:pPr>
        <w:ind w:firstLine="709"/>
      </w:pPr>
      <w:r>
        <w:t xml:space="preserve">Opsiyon sözleşmelerinin portföye alım aşamasında ve fiyat açıklama dönemlerinde karşı taraftan fiyatın alındığı durumlarda fiyat doğrulamasına ilişkin hesaplamalarda Kurucu'nun Risk Yönetimi Prosedürü Yönetmeliği'nde belirtilen esaslara uyulur. Hesaplama, pay ve endeks opsiyonlarında Bloomberg OVME sayfaları ya da Kurucu nezdinde geliştirilen Black&amp;Scholes modeli, Binomial model veya Monte-Carlo simülasyonu ile fiyatlamaya olanak sağlayan içsel sistemlerden sözleşmeye uygun olanı kullanılacaktır. </w:t>
      </w:r>
    </w:p>
    <w:p w14:paraId="16547A4D" w14:textId="77777777" w:rsidR="00C67A52" w:rsidRDefault="00C67A52" w:rsidP="00C67A52">
      <w:pPr>
        <w:ind w:firstLine="709"/>
      </w:pPr>
      <w:r>
        <w:t xml:space="preserve">Risk Yönetimi Birimi tarafından hesaplanan teorik fiyat ile kotasyonun uyumlu olması halinde kotasyona ilişkin uygunluk bildiriminde bulunularak işlem gerçekleştirilir ve değerlemede kotasyon fiyatı kullanılır. Risk Yönetimi Birimi tarafından hesaplanan teorik fiyat ile karşı taraftan alınan fiyat arasındaki farkın kabul edilebilir seviyesi, Risk Yönetimi Birimi tarafından hesaplanan teorik fiyatın %20’si olarak belirlenmiştir. Muhtemel farkın kabul edilebilir seviyesi olan %20 seviyesinin fon aleyhine aşılması halinde, sözleşmenin karşı tarafının kotasyonunu “adil fiyat” yönünde %20’lik farkın altına çekecek şekilde güncelleştirmesi istenir. İyileştirmeye rağmen karşı taraftan alınan fiyatın %20’lik limitin dışında kalması halinde Kurucunun yazılı ve gerekçeli kararı ile alınan son fiyat üzerinden işlem gerçekleştirilir ve değerlemede bu fiyat kullanılır. </w:t>
      </w:r>
    </w:p>
    <w:p w14:paraId="41E49837" w14:textId="77777777" w:rsidR="00C67A52" w:rsidRDefault="00C67A52" w:rsidP="00C67A52">
      <w:pPr>
        <w:ind w:firstLine="709"/>
      </w:pPr>
      <w:r>
        <w:t xml:space="preserve">Risk Yönetim Birimi tarafından forward sözleşmeler için dayanak varlığın spot fiyatı baz alınıp değerleme günü ile forward işlemin vade tarihi arasındaki gün sayısına tekabül eden uygun TL faizi ile ilerletilerek ve swap sözleşmeleri için ise sözleşmenin konusuna göre borçlanma aracı fiyatlaması yöntemi (IRR) ya da FRA (Forward Rate Agreement) yöntemi kullanılarak teorik fiyat hesaplanır. Risk Yönetimi Birimi tarafından teorik fiyat ile değerlemede kullanılacak fiyat arasında karşılaştırma yapılarak kontrol edilir. </w:t>
      </w:r>
    </w:p>
    <w:p w14:paraId="79B05151" w14:textId="77777777" w:rsidR="00C67A52" w:rsidRDefault="00C67A52" w:rsidP="00C67A52">
      <w:pPr>
        <w:ind w:firstLine="709"/>
      </w:pPr>
      <w:r>
        <w:t xml:space="preserve">Borsa dışında taraf olunacak repo-ters repo sözleşmelerine ilişkin olarak, ilgili sözleşmelerin faiz oranlarının borsada işlem gören benzer vade yapısına sahip sözleşmelerin faiz oranlarına uygun olması esastır. Borsa dışında taraf olunan repo-ters repo sözleşmelerinin herhangi bir ilişkiden etkilenmeyecek şekilde objektif koşullarda yapılmasının ve adil bir fiyat içermesinin güvence altına alınması için BIST Borçlanma Araçları Piyasası Repo-Ters Repo Pazarı’nda aynı gün ilgili vadede gerçekleşen ortalama faiz oranı ile %20’lik bir bant içerisinde kalmasına dikkat edilir. İlgili vadede BIST Borçlanma Araçları Piyasası Repo-Ters Repo Pazarı’nda işlem geçmemesi halinde, Türkiye Bankalar Birliği tarafından ilan edilen Türk lirası referans faiz oranı uygulamasında ilan edilen sabitleme oranları dikkate alınarak ilgili vade için doğrusal yakınsama yöntemi ile teorik faiz oranı elde edilir. Hesaplanan teorik faiz ile işlem yapılan faiz arasında %20’den fazla fark olmaması şartı aranır. Arızi durumlar nedeniyle gerçekleştirilmesi gereken işlemlerde Risk Yönetimi Birimi’nin görüşü alınarak işlem gerçekleştirilebilir. </w:t>
      </w:r>
    </w:p>
    <w:p w14:paraId="7C2C7A5F" w14:textId="77777777" w:rsidR="00C67A52" w:rsidRDefault="00C67A52" w:rsidP="00C67A52">
      <w:pPr>
        <w:ind w:firstLine="709"/>
      </w:pPr>
      <w:r>
        <w:t xml:space="preserve">Bu tür sözleşmelere taraf olunması durumunda, en geç sözleşme tarihini takip eden iş günü içinde sözleşmenin vadesi, faiz oranı, karşı tarafı ve karşı tarafın derecelendirme notu KAP’ta açıklanarak; ilgili bilgi ve belgeler sözleşme tarihini müteakip beş yıl süreyle saklanır. </w:t>
      </w:r>
    </w:p>
    <w:p w14:paraId="590CDE92" w14:textId="08BFEB0B" w:rsidR="00746780" w:rsidRDefault="00C67A52" w:rsidP="00FF6157">
      <w:pPr>
        <w:ind w:firstLine="709"/>
      </w:pPr>
      <w:r>
        <w:lastRenderedPageBreak/>
        <w:t>Borsa dışında taraf olunacak repo-ters repo sözleşmelerinin adil fiyat içerdiğinin kontrolü Risk Yönetimi Birimi tarafından yapılır.</w:t>
      </w:r>
    </w:p>
    <w:p w14:paraId="5DC37E2C" w14:textId="77777777" w:rsidR="00C67A52" w:rsidRPr="00EC42EC" w:rsidRDefault="00C67A52" w:rsidP="00746780">
      <w:pPr>
        <w:ind w:firstLine="709"/>
      </w:pPr>
    </w:p>
    <w:p w14:paraId="2FCC56D8" w14:textId="77777777" w:rsidR="00746780" w:rsidRPr="00EC42EC" w:rsidRDefault="00746780" w:rsidP="00746780">
      <w:pPr>
        <w:ind w:firstLine="709"/>
        <w:rPr>
          <w:b/>
        </w:rPr>
      </w:pPr>
      <w:bookmarkStart w:id="23" w:name="_Hlk94793301"/>
      <w:r w:rsidRPr="00EC42EC">
        <w:rPr>
          <w:b/>
        </w:rPr>
        <w:t>VI. KATILMA PAYLARININ ALIM SATIM ESASLARI</w:t>
      </w:r>
      <w:bookmarkEnd w:id="23"/>
    </w:p>
    <w:p w14:paraId="4D2C75C8" w14:textId="77777777" w:rsidR="00746780" w:rsidRDefault="00746780" w:rsidP="00746780">
      <w:pPr>
        <w:ind w:firstLine="709"/>
        <w:rPr>
          <w:b/>
        </w:rPr>
      </w:pPr>
    </w:p>
    <w:p w14:paraId="3DAF6747" w14:textId="77777777" w:rsidR="00746780" w:rsidRDefault="00746780" w:rsidP="00746780">
      <w:pPr>
        <w:ind w:firstLine="709"/>
      </w:pPr>
      <w:r>
        <w:t>Fon katılma payları sadece mevzuatta tanımlanan nitelikli yatırımcılara satılabilir.</w:t>
      </w:r>
    </w:p>
    <w:p w14:paraId="0D19DEAC" w14:textId="77777777" w:rsidR="00746780" w:rsidRDefault="00746780" w:rsidP="00746780">
      <w:pPr>
        <w:ind w:firstLine="709"/>
      </w:pPr>
    </w:p>
    <w:p w14:paraId="348011BA" w14:textId="77777777" w:rsidR="00746780" w:rsidRDefault="00746780" w:rsidP="00746780">
      <w:pPr>
        <w:ind w:firstLine="709"/>
      </w:pPr>
      <w:r>
        <w:t>Fon satış başlangıç tarihinde bir adet payın nominal fiyatı (birim pay değeri) 1 TL’dir. Takip eden günlerde fonun birim pay değeri, fon toplam değerinin katılma payı sayısına bölünmesiyle elde edilir.</w:t>
      </w:r>
    </w:p>
    <w:p w14:paraId="3034CA9D" w14:textId="77777777" w:rsidR="00746780" w:rsidRDefault="00746780" w:rsidP="00746780">
      <w:pPr>
        <w:rPr>
          <w:b/>
        </w:rPr>
      </w:pPr>
    </w:p>
    <w:p w14:paraId="744DABCB" w14:textId="773A2A96" w:rsidR="00364E4D" w:rsidRDefault="00364E4D" w:rsidP="00746780">
      <w:r>
        <w:rPr>
          <w:b/>
        </w:rPr>
        <w:tab/>
      </w:r>
      <w:r w:rsidRPr="00DD3B5D">
        <w:t xml:space="preserve">Fonun satış başlangıç tarihi </w:t>
      </w:r>
      <w:r w:rsidR="00535A6E">
        <w:t>26/09/2022</w:t>
      </w:r>
      <w:r w:rsidR="00535A6E" w:rsidRPr="00DD3B5D">
        <w:t>’dir.</w:t>
      </w:r>
    </w:p>
    <w:p w14:paraId="3D296B87" w14:textId="08843C6A" w:rsidR="007E3119" w:rsidRDefault="007E3119" w:rsidP="00746780"/>
    <w:p w14:paraId="6445FF9A" w14:textId="77777777" w:rsidR="00746780" w:rsidRDefault="00746780" w:rsidP="00746780">
      <w:pPr>
        <w:ind w:firstLine="709"/>
        <w:rPr>
          <w:b/>
        </w:rPr>
      </w:pPr>
      <w:r w:rsidRPr="00EC42EC">
        <w:rPr>
          <w:b/>
        </w:rPr>
        <w:t>6.1. Katılma Payı Alım Esaslar</w:t>
      </w:r>
      <w:r>
        <w:rPr>
          <w:b/>
        </w:rPr>
        <w:t>ı</w:t>
      </w:r>
    </w:p>
    <w:p w14:paraId="6C6BA647" w14:textId="77777777" w:rsidR="00746780" w:rsidRPr="00EC42EC" w:rsidRDefault="00746780" w:rsidP="00746780">
      <w:pPr>
        <w:ind w:firstLine="709"/>
        <w:rPr>
          <w:b/>
        </w:rPr>
      </w:pPr>
    </w:p>
    <w:p w14:paraId="633375DC" w14:textId="77777777" w:rsidR="007A434B" w:rsidRDefault="007A434B" w:rsidP="007A434B">
      <w:pPr>
        <w:ind w:firstLine="709"/>
      </w:pPr>
      <w:r>
        <w:t xml:space="preserve">Yatırımcıların BIST Pay Piyasası’nın açık olduğu günlerde saat 13.30’a kadar verdikleri katılma payı alım talimatları talimatın verilmesini takip eden ilk hesaplamada bulunacak pay fiyatı üzerinden yerine getirilir. </w:t>
      </w:r>
    </w:p>
    <w:p w14:paraId="75CA7B6B" w14:textId="77777777" w:rsidR="007A434B" w:rsidRDefault="007A434B" w:rsidP="007A434B">
      <w:pPr>
        <w:ind w:firstLine="708"/>
      </w:pPr>
      <w:r>
        <w:t xml:space="preserve">BIST Pay Piyasası’nın açık olduğu günlerde saat 13.30’dan sonra iletilen talimatlar ise, ilk pay fiyatı hesaplamasından sonra verilmiş olarak kabul edilir ve izleyen hesaplamada bulunan pay fiyatı üzerinden yerine getirilir. </w:t>
      </w:r>
    </w:p>
    <w:p w14:paraId="480C1EAB" w14:textId="563AC525" w:rsidR="00746780" w:rsidRDefault="007A434B" w:rsidP="007A434B">
      <w:pPr>
        <w:ind w:firstLine="708"/>
      </w:pPr>
      <w:r>
        <w:t>BIST Pay Piyasası’nın kapalı olduğu günlerde iletilen talimatlar, izleyen ilk iş günü yapılacak ilk hesaplamada bulunacak pay fiyatı üzerinden gerçekleştirilir.</w:t>
      </w:r>
    </w:p>
    <w:p w14:paraId="27A9FC5A" w14:textId="77777777" w:rsidR="007A434B" w:rsidRDefault="007A434B" w:rsidP="007A434B">
      <w:pPr>
        <w:ind w:firstLine="708"/>
        <w:rPr>
          <w:lang w:eastAsia="en-US"/>
        </w:rPr>
      </w:pPr>
    </w:p>
    <w:p w14:paraId="0295F8D3" w14:textId="61EC996E" w:rsidR="007A434B" w:rsidRDefault="00746780" w:rsidP="007A434B">
      <w:pPr>
        <w:ind w:firstLine="708"/>
        <w:rPr>
          <w:b/>
        </w:rPr>
      </w:pPr>
      <w:r w:rsidRPr="00EC42EC">
        <w:rPr>
          <w:b/>
        </w:rPr>
        <w:t xml:space="preserve">6.2. Alım Bedellerinin Tahsil Esasları </w:t>
      </w:r>
    </w:p>
    <w:p w14:paraId="58891CC1" w14:textId="1F20ED75" w:rsidR="00DC6A36" w:rsidRDefault="00DC6A36" w:rsidP="007A434B">
      <w:pPr>
        <w:ind w:firstLine="708"/>
        <w:rPr>
          <w:b/>
        </w:rPr>
      </w:pPr>
    </w:p>
    <w:p w14:paraId="289315BF" w14:textId="7ACDF73F" w:rsidR="00DC6A36" w:rsidRDefault="00DC6A36" w:rsidP="007A434B">
      <w:pPr>
        <w:ind w:firstLine="708"/>
      </w:pPr>
      <w:r>
        <w:t xml:space="preserve">Alım talimatının verilmesi sırasında, talep edilen katılma payı bedelinin Kurucu tarafından tahsil edilmesi esastır. Alım talimatları pay sayısı ya da tutar olarak verilebilir. Kurucu, talimatın pay sayısı olarak verilmesi halinde, alış işlemine uygulanacak fiyatın kesin olarak bilinmemesi nedeniyle, katılma payı bedellerini en son ilan edilen satış fiyatına en fazla %20 marj uygulayarak tahsil edebilir. </w:t>
      </w:r>
      <w:r w:rsidR="00063DEE" w:rsidRPr="00063DEE">
        <w:t>Ayrıca, katılma payı bedellerini işlem günü tahsil etmek üzere en son ilan edilen fiyata marj uygulanmak suretiyle bulunan tutara eş değer kıymeti teminat olarak kabul edebilir.</w:t>
      </w:r>
    </w:p>
    <w:p w14:paraId="393F2C9D" w14:textId="77777777" w:rsidR="00DC6A36" w:rsidRDefault="00DC6A36" w:rsidP="007A434B">
      <w:pPr>
        <w:ind w:firstLine="708"/>
      </w:pPr>
      <w:r>
        <w:t xml:space="preserve">Talimatın tutar olarak verilmesi halinde ise belirtilen tutar tahsil edilerek, bu tutara denk gelen pay sayısı fon fiyatı açıklandıktan sonra hesaplanır. Alım talimatının karşılığında tahsil edilen tutar o gün için yatırımcı adına nemalandırılmak suretiyle bu izahnamede belirlenen esaslar çerçevesinde, katılma payı alımında kullanılır. </w:t>
      </w:r>
    </w:p>
    <w:p w14:paraId="443FB723" w14:textId="77777777" w:rsidR="00DC6A36" w:rsidRDefault="00DC6A36" w:rsidP="007A434B">
      <w:pPr>
        <w:ind w:firstLine="708"/>
      </w:pPr>
      <w:r>
        <w:t xml:space="preserve">TEFAS’ta işlem görecek fonlar için alım talimatları pay sayısı ya da tutar olarak verilebilir. Kurucu, talimatın pay sayısı olarak verilmesi halinde, alış işlemine uygulanacak fiyatın kesin olarak bilinmemesi nedeniyle, katılma payı bedellerini en son ilan edilen satış fiyatına TEFAS’ta belirlenen marjı uygulayarak tahsil edebilir. Ayrıca katılma payı bedellerini işlem günü tahsil etmek üzere en son ilan edilen fiyata marj uygulanmak suretiyle bulunan tutara eş değer kıymet teminat olarak kabul edebilir. </w:t>
      </w:r>
    </w:p>
    <w:p w14:paraId="4B0FED1E" w14:textId="7B17301D" w:rsidR="00DC6A36" w:rsidRDefault="00DC6A36">
      <w:pPr>
        <w:ind w:firstLine="708"/>
      </w:pPr>
      <w:r>
        <w:t xml:space="preserve">Talimatın tutar olarak verilmesi halinde ise, en son ilan edilen katılma payı satış fiyatından TEFAS’ta belirlenen marj düşülerek belirlenecek fiyat üzerinden talimat verilen tutara denk gelen katılma payı sayısı TEFAS’ta eşleştirilir. Nihai katılma payı adedi fon fiyatı açıklandıktan sonra </w:t>
      </w:r>
      <w:r>
        <w:lastRenderedPageBreak/>
        <w:t xml:space="preserve">hesaplanır. Tahsil edilen tutara eş değer adedin üstünde verilen katılma payı alım talimatları iptal edilir. </w:t>
      </w:r>
      <w:r w:rsidR="00063DEE">
        <w:t>TEFAS’ta gerçekleşen işlemlerde nemalandırma usulleri dağıtıcı tarafından belirlenir.</w:t>
      </w:r>
    </w:p>
    <w:p w14:paraId="4D427712" w14:textId="3B2BAB92" w:rsidR="00DC6A36" w:rsidRDefault="00DC6A36" w:rsidP="007A434B">
      <w:pPr>
        <w:ind w:firstLine="708"/>
      </w:pPr>
      <w:r>
        <w:t>Tahsili BIST Pay Piyasası’nın yarım gün açık olduğu ve hisse takasının gerçekleşmediği günlere denk gelen talimatların gerçekleştirilmesi hisse takasının gerçekleştiği ilk iş gününde yapılır.</w:t>
      </w:r>
    </w:p>
    <w:p w14:paraId="5EFCC700" w14:textId="77777777" w:rsidR="00063DEE" w:rsidRDefault="00063DEE" w:rsidP="007A434B">
      <w:pPr>
        <w:ind w:firstLine="708"/>
        <w:rPr>
          <w:b/>
        </w:rPr>
      </w:pPr>
    </w:p>
    <w:p w14:paraId="178BA024" w14:textId="77777777" w:rsidR="00746780" w:rsidRDefault="00746780" w:rsidP="00746780">
      <w:pPr>
        <w:rPr>
          <w:b/>
          <w:vertAlign w:val="superscript"/>
        </w:rPr>
      </w:pPr>
      <w:r w:rsidRPr="00EC42EC">
        <w:rPr>
          <w:b/>
        </w:rPr>
        <w:tab/>
        <w:t>6.3. Katılma Payı Satım Esasları</w:t>
      </w:r>
    </w:p>
    <w:p w14:paraId="628B48A9" w14:textId="77777777" w:rsidR="00746780" w:rsidRPr="00EC42EC" w:rsidRDefault="00746780" w:rsidP="00746780">
      <w:pPr>
        <w:rPr>
          <w:b/>
          <w:vertAlign w:val="superscript"/>
        </w:rPr>
      </w:pPr>
    </w:p>
    <w:p w14:paraId="5D67E121" w14:textId="77777777" w:rsidR="00DC6A36" w:rsidRDefault="00DC6A36" w:rsidP="00DC6A36">
      <w:pPr>
        <w:ind w:firstLine="720"/>
      </w:pPr>
      <w:r>
        <w:t xml:space="preserve"> Yatırımcıların BIST Pay Piyasası’nın açık olduğu günlerde saat 13.30’a kadar verdikleri katılma payı satım talimatları talimatın verilmesini takip eden ilk hesaplamada bulunacak pay fiyatı üzerinden yerine getirilir. </w:t>
      </w:r>
    </w:p>
    <w:p w14:paraId="7DAE04F3" w14:textId="77777777" w:rsidR="00DC6A36" w:rsidRDefault="00DC6A36" w:rsidP="00DC6A36">
      <w:pPr>
        <w:ind w:firstLine="720"/>
      </w:pPr>
      <w:r>
        <w:t xml:space="preserve">BIST Pay Piyasası’nın açık olduğu günlerde saat 13.30’dan sonra iletilen talimatlar ise, ilk fiyat hesaplanmasından sonra verilmiş olarak kabul edilir ve izleyen hesaplamada bulunan pay fiyatı üzerinden yerine getirilir. </w:t>
      </w:r>
    </w:p>
    <w:p w14:paraId="51924F52" w14:textId="1800CFA6" w:rsidR="00746780" w:rsidRDefault="00DC6A36" w:rsidP="00DC6A36">
      <w:pPr>
        <w:ind w:firstLine="720"/>
      </w:pPr>
      <w:r>
        <w:t>BIST Pay Piyasası’nın kapalı olduğu günlerde iletilen talimatlar izleyen ilk iş günü yapılacak ilk hesaplamada bulunacak pay fiyatı üzerinden gerçekleştirilir.</w:t>
      </w:r>
    </w:p>
    <w:p w14:paraId="722AC009" w14:textId="77777777" w:rsidR="00DC6A36" w:rsidRPr="00EC42EC" w:rsidRDefault="00DC6A36" w:rsidP="00DC6A36">
      <w:pPr>
        <w:ind w:firstLine="720"/>
        <w:rPr>
          <w:b/>
        </w:rPr>
      </w:pPr>
    </w:p>
    <w:p w14:paraId="74F9DD85" w14:textId="77777777" w:rsidR="00746780" w:rsidRDefault="00746780" w:rsidP="00746780">
      <w:pPr>
        <w:rPr>
          <w:b/>
        </w:rPr>
      </w:pPr>
      <w:r w:rsidRPr="00EC42EC">
        <w:rPr>
          <w:b/>
        </w:rPr>
        <w:tab/>
        <w:t>6.4.Satım Bedellerinin Ödenme Esasları</w:t>
      </w:r>
    </w:p>
    <w:p w14:paraId="30B42443" w14:textId="77777777" w:rsidR="00746780" w:rsidRPr="00EC42EC" w:rsidRDefault="00746780" w:rsidP="00746780">
      <w:pPr>
        <w:rPr>
          <w:b/>
        </w:rPr>
      </w:pPr>
    </w:p>
    <w:p w14:paraId="076110BB" w14:textId="77777777" w:rsidR="00DC6A36" w:rsidRDefault="00DC6A36" w:rsidP="00DC6A36">
      <w:pPr>
        <w:pStyle w:val="GvdeMetniGirintisi"/>
        <w:ind w:left="0" w:firstLine="708"/>
      </w:pPr>
      <w:r>
        <w:t xml:space="preserve">Katılma payı bedelleri; iade talimatının, BIST Pay Piyasası’nın açık olduğu günlerde saat 13.30’a kadar verilmesi halinde, talimatın verilmesini takip eden ikinci işlem gününde, iade talimatının BIST Pay Piyasası’nın açık olduğu günlerde saat 13.30’dan sonra verilmesi halinde ise, talimatın verilmesini takip eden üçüncü işlem gününde yatırımcılara ödenir. </w:t>
      </w:r>
    </w:p>
    <w:p w14:paraId="20A188DF" w14:textId="220B2CE1" w:rsidR="00746780" w:rsidRDefault="00DC6A36" w:rsidP="00DC6A36">
      <w:pPr>
        <w:pStyle w:val="GvdeMetniGirintisi"/>
        <w:ind w:left="0" w:firstLine="708"/>
      </w:pPr>
      <w:r>
        <w:t xml:space="preserve">Tahsili BIST Pay Piyasası’nın yarım gün açık olduğu ve hisse takasının gerçekleşmediği günlere denk gelen talimatların gerçekleştirilmesi hisse takasının gerçekleştiği </w:t>
      </w:r>
      <w:r w:rsidR="006D03A2">
        <w:t xml:space="preserve">takip eden </w:t>
      </w:r>
      <w:r>
        <w:t>ilk iş gününde yapılır.</w:t>
      </w:r>
    </w:p>
    <w:p w14:paraId="700C8FED" w14:textId="77777777" w:rsidR="00746780" w:rsidRPr="00EC42EC" w:rsidRDefault="00746780" w:rsidP="00746780">
      <w:pPr>
        <w:ind w:firstLine="708"/>
        <w:rPr>
          <w:b/>
        </w:rPr>
      </w:pPr>
      <w:r w:rsidRPr="00EC42EC">
        <w:rPr>
          <w:b/>
        </w:rPr>
        <w:t>6.</w:t>
      </w:r>
      <w:r>
        <w:rPr>
          <w:b/>
        </w:rPr>
        <w:t>5</w:t>
      </w:r>
      <w:r w:rsidRPr="00EC42EC">
        <w:rPr>
          <w:b/>
        </w:rPr>
        <w:t>. Alım Satıma Aracılık Eden Kuruluşlar ve Alım Satım Yerleri:</w:t>
      </w:r>
      <w:r w:rsidRPr="00DD68A9">
        <w:rPr>
          <w:rStyle w:val="DipnotBavurusu"/>
        </w:rPr>
        <w:t xml:space="preserve"> </w:t>
      </w:r>
    </w:p>
    <w:p w14:paraId="2CFA6ACA" w14:textId="77777777" w:rsidR="00746780" w:rsidRDefault="00746780" w:rsidP="00746780">
      <w:pPr>
        <w:ind w:firstLine="708"/>
        <w:rPr>
          <w:b/>
        </w:rPr>
      </w:pPr>
      <w:r w:rsidRPr="00EC42EC">
        <w:t>Katılma paylarının alım ve satımı kurucunun yanı sıra TE</w:t>
      </w:r>
      <w:r>
        <w:t>FAS’a</w:t>
      </w:r>
      <w:r w:rsidRPr="00EC42EC">
        <w:t xml:space="preserve"> üye olan fon dağıtım kuruluşları aracılığıyla da yapılır. Üye kuruluşlara aşağıda yer alan linkten ulaşılması mümkündür</w:t>
      </w:r>
      <w:r w:rsidRPr="00764CAE">
        <w:rPr>
          <w:b/>
        </w:rPr>
        <w:t>.</w:t>
      </w:r>
      <w:r>
        <w:rPr>
          <w:b/>
        </w:rPr>
        <w:t xml:space="preserve">    </w:t>
      </w:r>
    </w:p>
    <w:p w14:paraId="1DDF8C3F" w14:textId="77777777" w:rsidR="00746780" w:rsidRPr="00EC42EC" w:rsidRDefault="00746780" w:rsidP="00746780">
      <w:pPr>
        <w:ind w:firstLine="708"/>
      </w:pPr>
    </w:p>
    <w:p w14:paraId="2413FD98" w14:textId="06F61F28" w:rsidR="004403EB" w:rsidRDefault="00895BA7" w:rsidP="00746780">
      <w:pPr>
        <w:ind w:firstLine="708"/>
        <w:rPr>
          <w:rStyle w:val="Kpr"/>
          <w:b/>
        </w:rPr>
      </w:pPr>
      <w:hyperlink r:id="rId9" w:history="1">
        <w:r w:rsidR="00746780" w:rsidRPr="001E2D83">
          <w:rPr>
            <w:rStyle w:val="Kpr"/>
            <w:b/>
          </w:rPr>
          <w:t>http://www.takasbank.com.tr/tr/Sayfalar/TEFAS-Uyeler.aspx</w:t>
        </w:r>
      </w:hyperlink>
    </w:p>
    <w:p w14:paraId="2B15EF9D" w14:textId="7C406A30" w:rsidR="00535A6E" w:rsidRDefault="00535A6E" w:rsidP="00746780">
      <w:pPr>
        <w:ind w:firstLine="708"/>
        <w:rPr>
          <w:rStyle w:val="Kpr"/>
          <w:b/>
        </w:rPr>
      </w:pPr>
    </w:p>
    <w:p w14:paraId="404530F4" w14:textId="77777777" w:rsidR="00535A6E" w:rsidRPr="00FE279B" w:rsidRDefault="00535A6E" w:rsidP="00535A6E">
      <w:pPr>
        <w:ind w:firstLine="708"/>
        <w:rPr>
          <w:rStyle w:val="Kpr"/>
          <w:bCs/>
          <w:color w:val="auto"/>
          <w:u w:val="none"/>
        </w:rPr>
      </w:pPr>
      <w:r w:rsidRPr="00FE279B">
        <w:rPr>
          <w:rStyle w:val="Kpr"/>
          <w:bCs/>
          <w:color w:val="auto"/>
          <w:u w:val="none"/>
        </w:rPr>
        <w:t>Kurucu ile aktif pazarlama ve dağıtım sözleşmesi imzalamış olan kurumların unvanı ve iletişim bilgileri aşağıda yer almaktadır.</w:t>
      </w:r>
    </w:p>
    <w:p w14:paraId="3973DBFB" w14:textId="77777777" w:rsidR="00535A6E" w:rsidRDefault="00535A6E" w:rsidP="00535A6E">
      <w:pPr>
        <w:ind w:firstLine="708"/>
        <w:rPr>
          <w:rStyle w:val="Kpr"/>
          <w:b/>
        </w:rPr>
      </w:pPr>
    </w:p>
    <w:p w14:paraId="5CB49859" w14:textId="77777777" w:rsidR="00535A6E" w:rsidRPr="00EC42EC" w:rsidRDefault="00535A6E" w:rsidP="00535A6E">
      <w:pPr>
        <w:ind w:firstLine="708"/>
        <w:rPr>
          <w:b/>
        </w:rPr>
      </w:pPr>
    </w:p>
    <w:tbl>
      <w:tblPr>
        <w:tblW w:w="10200" w:type="dxa"/>
        <w:tblCellMar>
          <w:left w:w="70" w:type="dxa"/>
          <w:right w:w="70" w:type="dxa"/>
        </w:tblCellMar>
        <w:tblLook w:val="04A0" w:firstRow="1" w:lastRow="0" w:firstColumn="1" w:lastColumn="0" w:noHBand="0" w:noVBand="1"/>
      </w:tblPr>
      <w:tblGrid>
        <w:gridCol w:w="3320"/>
        <w:gridCol w:w="6880"/>
      </w:tblGrid>
      <w:tr w:rsidR="00535A6E" w:rsidRPr="00535A6E" w14:paraId="21E28DF7" w14:textId="77777777" w:rsidTr="00535A6E">
        <w:trPr>
          <w:trHeight w:val="324"/>
        </w:trPr>
        <w:tc>
          <w:tcPr>
            <w:tcW w:w="33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93BCD7" w14:textId="77777777" w:rsidR="00535A6E" w:rsidRPr="00535A6E" w:rsidRDefault="00535A6E" w:rsidP="00535A6E">
            <w:pPr>
              <w:rPr>
                <w:b/>
                <w:bCs/>
                <w:color w:val="000000"/>
              </w:rPr>
            </w:pPr>
            <w:r w:rsidRPr="00535A6E">
              <w:rPr>
                <w:b/>
                <w:bCs/>
                <w:color w:val="000000"/>
              </w:rPr>
              <w:t>Dağıtıcı Kurum Unvanı</w:t>
            </w:r>
          </w:p>
        </w:tc>
        <w:tc>
          <w:tcPr>
            <w:tcW w:w="6880" w:type="dxa"/>
            <w:tcBorders>
              <w:top w:val="single" w:sz="8" w:space="0" w:color="auto"/>
              <w:left w:val="nil"/>
              <w:bottom w:val="single" w:sz="8" w:space="0" w:color="auto"/>
              <w:right w:val="single" w:sz="8" w:space="0" w:color="auto"/>
            </w:tcBorders>
            <w:shd w:val="clear" w:color="auto" w:fill="auto"/>
            <w:vAlign w:val="center"/>
            <w:hideMark/>
          </w:tcPr>
          <w:p w14:paraId="1CC08CB4" w14:textId="77777777" w:rsidR="00535A6E" w:rsidRPr="00535A6E" w:rsidRDefault="00535A6E" w:rsidP="00535A6E">
            <w:pPr>
              <w:rPr>
                <w:b/>
                <w:bCs/>
                <w:color w:val="000000"/>
              </w:rPr>
            </w:pPr>
            <w:r w:rsidRPr="00535A6E">
              <w:rPr>
                <w:b/>
                <w:bCs/>
                <w:color w:val="000000"/>
              </w:rPr>
              <w:t>İletişim bilgileri</w:t>
            </w:r>
          </w:p>
        </w:tc>
      </w:tr>
      <w:tr w:rsidR="00535A6E" w:rsidRPr="00535A6E" w14:paraId="11C6A5BA" w14:textId="77777777" w:rsidTr="00535A6E">
        <w:trPr>
          <w:trHeight w:val="1152"/>
        </w:trPr>
        <w:tc>
          <w:tcPr>
            <w:tcW w:w="3320" w:type="dxa"/>
            <w:tcBorders>
              <w:top w:val="nil"/>
              <w:left w:val="single" w:sz="8" w:space="0" w:color="auto"/>
              <w:bottom w:val="single" w:sz="4" w:space="0" w:color="auto"/>
              <w:right w:val="single" w:sz="4" w:space="0" w:color="auto"/>
            </w:tcBorders>
            <w:shd w:val="clear" w:color="auto" w:fill="auto"/>
            <w:noWrap/>
            <w:vAlign w:val="center"/>
            <w:hideMark/>
          </w:tcPr>
          <w:p w14:paraId="0B6CF588" w14:textId="77777777" w:rsidR="00535A6E" w:rsidRPr="00B34EEF" w:rsidRDefault="00535A6E" w:rsidP="00535A6E">
            <w:pPr>
              <w:jc w:val="left"/>
              <w:rPr>
                <w:color w:val="000000"/>
              </w:rPr>
            </w:pPr>
            <w:r w:rsidRPr="00B34EEF">
              <w:rPr>
                <w:color w:val="000000"/>
              </w:rPr>
              <w:t>Gri Portföy Yönetimi A.Ş.</w:t>
            </w:r>
          </w:p>
        </w:tc>
        <w:tc>
          <w:tcPr>
            <w:tcW w:w="6880" w:type="dxa"/>
            <w:tcBorders>
              <w:top w:val="nil"/>
              <w:left w:val="nil"/>
              <w:bottom w:val="single" w:sz="4" w:space="0" w:color="auto"/>
              <w:right w:val="single" w:sz="8" w:space="0" w:color="auto"/>
            </w:tcBorders>
            <w:shd w:val="clear" w:color="auto" w:fill="auto"/>
            <w:vAlign w:val="center"/>
            <w:hideMark/>
          </w:tcPr>
          <w:p w14:paraId="6E1409BE" w14:textId="77777777" w:rsidR="00535A6E" w:rsidRPr="00B34EEF" w:rsidRDefault="00535A6E" w:rsidP="00535A6E">
            <w:pPr>
              <w:jc w:val="left"/>
              <w:rPr>
                <w:color w:val="000000"/>
              </w:rPr>
            </w:pPr>
            <w:r w:rsidRPr="00B34EEF">
              <w:rPr>
                <w:color w:val="000000"/>
              </w:rPr>
              <w:t>Ömer Avni Mah. İnönü Caddesi Devres Han No:50 İç Kapı No:2 Kat: B2 Gümüşsuyu, Beyoğlu/İSTANBUL</w:t>
            </w:r>
            <w:r w:rsidRPr="00B34EEF">
              <w:rPr>
                <w:color w:val="000000"/>
              </w:rPr>
              <w:br/>
              <w:t>www.griportfoy.com.tr</w:t>
            </w:r>
            <w:r w:rsidRPr="00B34EEF">
              <w:rPr>
                <w:color w:val="000000"/>
              </w:rPr>
              <w:br/>
              <w:t>Tel: 0212 706 8474</w:t>
            </w:r>
          </w:p>
        </w:tc>
      </w:tr>
      <w:tr w:rsidR="00535A6E" w:rsidRPr="00535A6E" w14:paraId="3EFFD06E" w14:textId="77777777" w:rsidTr="00535A6E">
        <w:trPr>
          <w:trHeight w:val="1152"/>
        </w:trPr>
        <w:tc>
          <w:tcPr>
            <w:tcW w:w="3320" w:type="dxa"/>
            <w:tcBorders>
              <w:top w:val="nil"/>
              <w:left w:val="single" w:sz="8" w:space="0" w:color="auto"/>
              <w:bottom w:val="single" w:sz="4" w:space="0" w:color="auto"/>
              <w:right w:val="single" w:sz="4" w:space="0" w:color="auto"/>
            </w:tcBorders>
            <w:shd w:val="clear" w:color="auto" w:fill="auto"/>
            <w:noWrap/>
            <w:vAlign w:val="center"/>
            <w:hideMark/>
          </w:tcPr>
          <w:p w14:paraId="0CD09309" w14:textId="77777777" w:rsidR="00535A6E" w:rsidRPr="00B34EEF" w:rsidRDefault="00535A6E" w:rsidP="00535A6E">
            <w:pPr>
              <w:jc w:val="left"/>
              <w:rPr>
                <w:color w:val="000000"/>
              </w:rPr>
            </w:pPr>
            <w:r w:rsidRPr="00B34EEF">
              <w:rPr>
                <w:color w:val="000000"/>
              </w:rPr>
              <w:t>Halk Yatırım Menkul Değerler A.Ş.</w:t>
            </w:r>
          </w:p>
        </w:tc>
        <w:tc>
          <w:tcPr>
            <w:tcW w:w="6880" w:type="dxa"/>
            <w:tcBorders>
              <w:top w:val="nil"/>
              <w:left w:val="nil"/>
              <w:bottom w:val="single" w:sz="4" w:space="0" w:color="auto"/>
              <w:right w:val="single" w:sz="8" w:space="0" w:color="auto"/>
            </w:tcBorders>
            <w:shd w:val="clear" w:color="auto" w:fill="auto"/>
            <w:vAlign w:val="center"/>
            <w:hideMark/>
          </w:tcPr>
          <w:p w14:paraId="38A5782B" w14:textId="77777777" w:rsidR="00535A6E" w:rsidRPr="00B34EEF" w:rsidRDefault="00535A6E" w:rsidP="00535A6E">
            <w:pPr>
              <w:jc w:val="left"/>
              <w:rPr>
                <w:color w:val="000000"/>
              </w:rPr>
            </w:pPr>
            <w:r w:rsidRPr="00B34EEF">
              <w:rPr>
                <w:color w:val="000000"/>
              </w:rPr>
              <w:t>Barbaros Mah. Mor Sümbül Sk. WBC İş Merkezi İç Kapı No: 21 Ataşehir/İstanbul</w:t>
            </w:r>
            <w:r w:rsidRPr="00B34EEF">
              <w:rPr>
                <w:color w:val="000000"/>
              </w:rPr>
              <w:br/>
              <w:t>www.halkyatirim.com.tr</w:t>
            </w:r>
            <w:r w:rsidRPr="00B34EEF">
              <w:rPr>
                <w:color w:val="000000"/>
              </w:rPr>
              <w:br/>
              <w:t>Tel: 0216 295 0900</w:t>
            </w:r>
          </w:p>
        </w:tc>
      </w:tr>
      <w:tr w:rsidR="00535A6E" w:rsidRPr="00535A6E" w14:paraId="54A3C7BD" w14:textId="77777777" w:rsidTr="00535A6E">
        <w:trPr>
          <w:trHeight w:val="1152"/>
        </w:trPr>
        <w:tc>
          <w:tcPr>
            <w:tcW w:w="3320" w:type="dxa"/>
            <w:tcBorders>
              <w:top w:val="nil"/>
              <w:left w:val="single" w:sz="8" w:space="0" w:color="auto"/>
              <w:bottom w:val="single" w:sz="4" w:space="0" w:color="auto"/>
              <w:right w:val="single" w:sz="4" w:space="0" w:color="auto"/>
            </w:tcBorders>
            <w:shd w:val="clear" w:color="auto" w:fill="auto"/>
            <w:noWrap/>
            <w:vAlign w:val="center"/>
            <w:hideMark/>
          </w:tcPr>
          <w:p w14:paraId="29EEAC2E" w14:textId="77777777" w:rsidR="00535A6E" w:rsidRPr="00B34EEF" w:rsidRDefault="00535A6E" w:rsidP="00535A6E">
            <w:pPr>
              <w:jc w:val="left"/>
              <w:rPr>
                <w:color w:val="000000"/>
              </w:rPr>
            </w:pPr>
            <w:r w:rsidRPr="00B34EEF">
              <w:rPr>
                <w:color w:val="000000"/>
              </w:rPr>
              <w:lastRenderedPageBreak/>
              <w:t>Odeabank A.Ş.</w:t>
            </w:r>
          </w:p>
        </w:tc>
        <w:tc>
          <w:tcPr>
            <w:tcW w:w="6880" w:type="dxa"/>
            <w:tcBorders>
              <w:top w:val="nil"/>
              <w:left w:val="nil"/>
              <w:bottom w:val="single" w:sz="4" w:space="0" w:color="auto"/>
              <w:right w:val="single" w:sz="8" w:space="0" w:color="auto"/>
            </w:tcBorders>
            <w:shd w:val="clear" w:color="auto" w:fill="auto"/>
            <w:vAlign w:val="center"/>
            <w:hideMark/>
          </w:tcPr>
          <w:p w14:paraId="445038E7" w14:textId="77777777" w:rsidR="00535A6E" w:rsidRPr="00B34EEF" w:rsidRDefault="00535A6E" w:rsidP="00535A6E">
            <w:pPr>
              <w:jc w:val="left"/>
              <w:rPr>
                <w:color w:val="000000"/>
              </w:rPr>
            </w:pPr>
            <w:r w:rsidRPr="00B34EEF">
              <w:rPr>
                <w:color w:val="000000"/>
              </w:rPr>
              <w:t>Esentepe, Büyükdere Cd. No:199, 34394</w:t>
            </w:r>
            <w:r w:rsidRPr="00B34EEF">
              <w:rPr>
                <w:color w:val="000000"/>
              </w:rPr>
              <w:br/>
              <w:t>Şişli/İstanbul</w:t>
            </w:r>
            <w:r w:rsidRPr="00B34EEF">
              <w:rPr>
                <w:color w:val="000000"/>
              </w:rPr>
              <w:br/>
              <w:t>www.odeabank.com.tr</w:t>
            </w:r>
            <w:r w:rsidRPr="00B34EEF">
              <w:rPr>
                <w:color w:val="000000"/>
              </w:rPr>
              <w:br/>
              <w:t>Tel: 0212 304 8444</w:t>
            </w:r>
          </w:p>
        </w:tc>
      </w:tr>
    </w:tbl>
    <w:p w14:paraId="4E36ABFF" w14:textId="77777777" w:rsidR="00535A6E" w:rsidRDefault="00535A6E" w:rsidP="00746780">
      <w:pPr>
        <w:ind w:firstLine="708"/>
      </w:pPr>
    </w:p>
    <w:p w14:paraId="2DF4663E" w14:textId="77777777" w:rsidR="004403EB" w:rsidRDefault="004403EB" w:rsidP="00746780">
      <w:pPr>
        <w:ind w:firstLine="708"/>
      </w:pPr>
    </w:p>
    <w:p w14:paraId="140330F1" w14:textId="77777777" w:rsidR="004403EB" w:rsidRPr="004403EB" w:rsidRDefault="004403EB" w:rsidP="004403EB">
      <w:pPr>
        <w:ind w:firstLine="708"/>
      </w:pPr>
      <w:r w:rsidRPr="004403EB">
        <w:rPr>
          <w:b/>
        </w:rPr>
        <w:t>6.6. Giriş Çıkış Komisyonları:</w:t>
      </w:r>
      <w:r w:rsidRPr="004403EB">
        <w:t xml:space="preserve"> Fon Paylarına herhangi bir giriş veya çıkış komisyonu uygulanmayacaktır.</w:t>
      </w:r>
    </w:p>
    <w:p w14:paraId="59794DEA" w14:textId="77777777" w:rsidR="004403EB" w:rsidRPr="004403EB" w:rsidRDefault="004403EB" w:rsidP="004403EB">
      <w:pPr>
        <w:ind w:firstLine="708"/>
      </w:pPr>
    </w:p>
    <w:p w14:paraId="1DAEE4F9" w14:textId="77777777" w:rsidR="004403EB" w:rsidRPr="004403EB" w:rsidRDefault="004403EB" w:rsidP="004403EB">
      <w:pPr>
        <w:ind w:firstLine="708"/>
        <w:rPr>
          <w:b/>
        </w:rPr>
      </w:pPr>
      <w:r w:rsidRPr="004403EB">
        <w:rPr>
          <w:b/>
        </w:rPr>
        <w:t xml:space="preserve">6.7. Performans Ücreti: </w:t>
      </w:r>
      <w:r w:rsidRPr="004403EB">
        <w:t>Fon’dan herhangi bir performans ücreti tahsil edilmeyecektir.</w:t>
      </w:r>
    </w:p>
    <w:p w14:paraId="37B4C88E" w14:textId="77777777" w:rsidR="00045885" w:rsidRPr="00EC42EC" w:rsidRDefault="00045885" w:rsidP="00610B29">
      <w:pPr>
        <w:rPr>
          <w:b/>
        </w:rPr>
      </w:pPr>
    </w:p>
    <w:p w14:paraId="35ECE9E2" w14:textId="77777777" w:rsidR="00746780" w:rsidRPr="00EC42EC" w:rsidRDefault="00746780" w:rsidP="00746780">
      <w:pPr>
        <w:pStyle w:val="Balk2"/>
        <w:ind w:firstLine="709"/>
        <w:rPr>
          <w:rFonts w:cs="Times New Roman"/>
          <w:sz w:val="24"/>
          <w:szCs w:val="24"/>
        </w:rPr>
      </w:pPr>
      <w:bookmarkStart w:id="24" w:name="_Toc94788081"/>
      <w:bookmarkStart w:id="25" w:name="_Toc94793567"/>
      <w:r w:rsidRPr="00EC42EC">
        <w:rPr>
          <w:rFonts w:cs="Times New Roman"/>
          <w:sz w:val="24"/>
          <w:szCs w:val="24"/>
        </w:rPr>
        <w:t>VII. FON MALVARLIĞINDAN KARŞILANACAK HARCAMALAR VE KURUCU’NUN KARŞILADIĞI GİDERLER:</w:t>
      </w:r>
      <w:bookmarkEnd w:id="24"/>
      <w:bookmarkEnd w:id="25"/>
    </w:p>
    <w:p w14:paraId="5CD54077" w14:textId="77777777" w:rsidR="00746780" w:rsidRPr="00EC42EC" w:rsidRDefault="00746780" w:rsidP="00746780"/>
    <w:p w14:paraId="7C170C5D" w14:textId="77777777" w:rsidR="00746780" w:rsidRPr="00EC42EC" w:rsidRDefault="00746780" w:rsidP="00746780">
      <w:pPr>
        <w:ind w:firstLine="567"/>
      </w:pPr>
      <w:r w:rsidRPr="00EC42EC">
        <w:rPr>
          <w:b/>
          <w:u w:val="single"/>
        </w:rPr>
        <w:t>7.1.</w:t>
      </w:r>
      <w:r w:rsidRPr="00EC42EC">
        <w:rPr>
          <w:u w:val="single"/>
        </w:rPr>
        <w:t xml:space="preserve"> </w:t>
      </w:r>
      <w:r w:rsidRPr="00EC42EC">
        <w:rPr>
          <w:b/>
          <w:u w:val="single"/>
        </w:rPr>
        <w:t>Fonun Malvarlığından Karşılanan Harcamalar</w:t>
      </w:r>
    </w:p>
    <w:p w14:paraId="1B4244A6" w14:textId="77777777" w:rsidR="00746780" w:rsidRPr="00EC42EC" w:rsidRDefault="00746780" w:rsidP="00746780">
      <w:pPr>
        <w:ind w:firstLine="709"/>
      </w:pPr>
    </w:p>
    <w:p w14:paraId="58504754" w14:textId="77777777" w:rsidR="00746780" w:rsidRPr="00EC42EC" w:rsidRDefault="00746780" w:rsidP="00746780">
      <w:pPr>
        <w:ind w:right="-285" w:firstLine="567"/>
      </w:pPr>
      <w:r w:rsidRPr="00EC42EC">
        <w:t>Fon varlığından yapılabilecek harcamalar aşağıda yer almaktadır.</w:t>
      </w:r>
    </w:p>
    <w:p w14:paraId="1ACD561B" w14:textId="77777777" w:rsidR="00746780" w:rsidRPr="00EC42EC" w:rsidRDefault="00746780" w:rsidP="00746780">
      <w:pPr>
        <w:tabs>
          <w:tab w:val="left" w:pos="851"/>
        </w:tabs>
        <w:ind w:left="567" w:right="-285"/>
      </w:pPr>
      <w:r w:rsidRPr="00EC42EC">
        <w:t>1) Saklama hizmetleri için ödenen her türlü ücretler,</w:t>
      </w:r>
    </w:p>
    <w:p w14:paraId="526D158F" w14:textId="77777777" w:rsidR="00746780" w:rsidRPr="00EC42EC" w:rsidRDefault="00746780" w:rsidP="00746780">
      <w:pPr>
        <w:tabs>
          <w:tab w:val="left" w:pos="851"/>
        </w:tabs>
        <w:ind w:left="567" w:right="-285"/>
      </w:pPr>
      <w:r w:rsidRPr="00EC42EC">
        <w:t>2) Varlıkların nakde çevrilmesi ve transferinde ödenen her türlü vergi, resim ve komisyonlar,</w:t>
      </w:r>
    </w:p>
    <w:p w14:paraId="3DE1014A" w14:textId="77777777" w:rsidR="00746780" w:rsidRPr="00EC42EC" w:rsidRDefault="00746780" w:rsidP="00746780">
      <w:pPr>
        <w:tabs>
          <w:tab w:val="left" w:pos="851"/>
        </w:tabs>
        <w:ind w:left="567" w:right="-285"/>
      </w:pPr>
      <w:r w:rsidRPr="00EC42EC">
        <w:t>3) Alınan kredilerin faizi,</w:t>
      </w:r>
    </w:p>
    <w:p w14:paraId="7BFB54C3" w14:textId="77777777" w:rsidR="00746780" w:rsidRPr="00EC42EC" w:rsidRDefault="00746780" w:rsidP="00746780">
      <w:pPr>
        <w:tabs>
          <w:tab w:val="left" w:pos="851"/>
        </w:tabs>
        <w:ind w:left="567" w:right="-285"/>
      </w:pPr>
      <w:r w:rsidRPr="00EC42EC">
        <w:t xml:space="preserve">4) Portföye alımlarda ve portföyden satımlarda ödenen </w:t>
      </w:r>
      <w:r>
        <w:t>aracılık komisyonları</w:t>
      </w:r>
      <w:r w:rsidRPr="00EC42EC">
        <w:t>,</w:t>
      </w:r>
    </w:p>
    <w:p w14:paraId="73EFB7B8" w14:textId="77777777" w:rsidR="00746780" w:rsidRPr="00EC42EC" w:rsidRDefault="00746780" w:rsidP="00746780">
      <w:pPr>
        <w:tabs>
          <w:tab w:val="left" w:pos="851"/>
        </w:tabs>
        <w:ind w:left="567" w:right="-285"/>
      </w:pPr>
      <w:r w:rsidRPr="00EC42EC">
        <w:t>5) Portföy yönetim ücreti,</w:t>
      </w:r>
    </w:p>
    <w:p w14:paraId="4E6809D9" w14:textId="77777777" w:rsidR="00746780" w:rsidRPr="00EC42EC" w:rsidRDefault="00746780" w:rsidP="00746780">
      <w:pPr>
        <w:tabs>
          <w:tab w:val="left" w:pos="851"/>
        </w:tabs>
        <w:ind w:left="567" w:right="-285"/>
      </w:pPr>
      <w:r w:rsidRPr="00EC42EC">
        <w:t>6) Fonun mükellefi olduğu vergi,</w:t>
      </w:r>
    </w:p>
    <w:p w14:paraId="084EBB5A" w14:textId="77777777" w:rsidR="00746780" w:rsidRPr="00EC42EC" w:rsidRDefault="00746780" w:rsidP="00746780">
      <w:pPr>
        <w:tabs>
          <w:tab w:val="left" w:pos="851"/>
        </w:tabs>
        <w:ind w:left="567" w:right="-285"/>
      </w:pPr>
      <w:r w:rsidRPr="00EC42EC">
        <w:t>7) Bağımsız denetim kuruluşlarına ödenen denetim ücreti,</w:t>
      </w:r>
    </w:p>
    <w:p w14:paraId="4F76264A" w14:textId="77777777" w:rsidR="00746780" w:rsidRPr="00EC42EC" w:rsidRDefault="00746780" w:rsidP="00746780">
      <w:pPr>
        <w:tabs>
          <w:tab w:val="left" w:pos="851"/>
        </w:tabs>
        <w:ind w:left="567" w:right="-285"/>
      </w:pPr>
      <w:r w:rsidRPr="00EC42EC">
        <w:t>8) Mevzuat gereği yapılması zorunlu ilan giderleri,</w:t>
      </w:r>
    </w:p>
    <w:p w14:paraId="02A7C060" w14:textId="77777777" w:rsidR="00746780" w:rsidRPr="00EC42EC" w:rsidRDefault="00746780" w:rsidP="00746780">
      <w:pPr>
        <w:tabs>
          <w:tab w:val="left" w:pos="851"/>
        </w:tabs>
        <w:ind w:left="567" w:right="-285"/>
      </w:pPr>
      <w:r w:rsidRPr="00EC42EC">
        <w:t>9) Takvim yılı esas alınarak üçer aylık dönemlerin son iş gününde fonun toplam değeri üzerinden hesaplanacak Kurul ücreti,</w:t>
      </w:r>
    </w:p>
    <w:p w14:paraId="788BCE08" w14:textId="77777777" w:rsidR="00746780" w:rsidRDefault="00746780" w:rsidP="00746780">
      <w:pPr>
        <w:tabs>
          <w:tab w:val="left" w:pos="851"/>
        </w:tabs>
        <w:ind w:left="567" w:right="-285"/>
      </w:pPr>
      <w:r w:rsidRPr="00EC42EC">
        <w:t xml:space="preserve">10) </w:t>
      </w:r>
      <w:r>
        <w:t>Eşik değer</w:t>
      </w:r>
      <w:r w:rsidR="004403EB">
        <w:t xml:space="preserve"> ölçütü giderler</w:t>
      </w:r>
      <w:r>
        <w:t>i</w:t>
      </w:r>
      <w:r w:rsidRPr="00EC42EC">
        <w:t>,</w:t>
      </w:r>
    </w:p>
    <w:p w14:paraId="266BFABA" w14:textId="77777777" w:rsidR="00746780" w:rsidRDefault="00746780" w:rsidP="00746780">
      <w:pPr>
        <w:tabs>
          <w:tab w:val="left" w:pos="851"/>
        </w:tabs>
        <w:ind w:left="567" w:right="-285"/>
      </w:pPr>
      <w:r>
        <w:t>11) KAP giderleri,</w:t>
      </w:r>
    </w:p>
    <w:p w14:paraId="177E78AE" w14:textId="77777777" w:rsidR="00746780" w:rsidRDefault="00746780" w:rsidP="00746780">
      <w:pPr>
        <w:tabs>
          <w:tab w:val="left" w:pos="851"/>
        </w:tabs>
        <w:ind w:left="567" w:right="-285"/>
      </w:pPr>
      <w:r w:rsidRPr="00EC42EC">
        <w:t>1</w:t>
      </w:r>
      <w:r>
        <w:t>2</w:t>
      </w:r>
      <w:r w:rsidRPr="00EC42EC">
        <w:t xml:space="preserve">) </w:t>
      </w:r>
      <w:r>
        <w:t>E-vergi beyannamelerinin tasdikine ilişkin yetkili meslek mensubu ücreti,</w:t>
      </w:r>
    </w:p>
    <w:p w14:paraId="69E86D25" w14:textId="77777777" w:rsidR="00746780" w:rsidRDefault="00746780" w:rsidP="00746780">
      <w:pPr>
        <w:tabs>
          <w:tab w:val="left" w:pos="851"/>
        </w:tabs>
        <w:ind w:left="567" w:right="-285"/>
      </w:pPr>
      <w:r>
        <w:t xml:space="preserve">13) E-defter (mali mühür, arşivleme ve kullanım) ve E-fatura (arşivleme) uygulamaları nedeni ile ödenen hizmet bedeli, </w:t>
      </w:r>
    </w:p>
    <w:p w14:paraId="14B01EA7" w14:textId="77777777" w:rsidR="00746780" w:rsidRDefault="00746780" w:rsidP="00746780">
      <w:pPr>
        <w:tabs>
          <w:tab w:val="left" w:pos="851"/>
        </w:tabs>
        <w:ind w:left="567" w:right="-285"/>
      </w:pPr>
      <w:r>
        <w:t xml:space="preserve">14) Mevzuat uyarınca tutulması zorunlu defterlere ilişkin noter onayı giderleri. </w:t>
      </w:r>
    </w:p>
    <w:p w14:paraId="4394A9F6" w14:textId="77777777" w:rsidR="00746780" w:rsidRPr="00EC42EC" w:rsidRDefault="00746780" w:rsidP="00746780">
      <w:pPr>
        <w:tabs>
          <w:tab w:val="left" w:pos="851"/>
        </w:tabs>
        <w:ind w:left="567" w:right="-285"/>
      </w:pPr>
      <w:r>
        <w:t>15) Tüzel kişi kimlik kodu gideri,</w:t>
      </w:r>
    </w:p>
    <w:p w14:paraId="39490C2C" w14:textId="77777777" w:rsidR="00746780" w:rsidRPr="00EC42EC" w:rsidRDefault="00746780" w:rsidP="00746780">
      <w:pPr>
        <w:tabs>
          <w:tab w:val="left" w:pos="851"/>
        </w:tabs>
        <w:ind w:left="567" w:right="-285"/>
      </w:pPr>
      <w:r w:rsidRPr="00EC42EC">
        <w:t>1</w:t>
      </w:r>
      <w:r>
        <w:t>6</w:t>
      </w:r>
      <w:r w:rsidRPr="00EC42EC">
        <w:t>) Kurulca uygun görülecek diğer harcamalar.</w:t>
      </w:r>
    </w:p>
    <w:p w14:paraId="4264CA9A" w14:textId="77777777" w:rsidR="00746780" w:rsidRPr="00EC42EC" w:rsidRDefault="00746780" w:rsidP="00746780">
      <w:pPr>
        <w:ind w:firstLine="709"/>
      </w:pPr>
    </w:p>
    <w:p w14:paraId="2FBD4EE3" w14:textId="77777777" w:rsidR="00746780" w:rsidRPr="004F1289" w:rsidRDefault="00746780" w:rsidP="00746780">
      <w:pPr>
        <w:ind w:firstLine="709"/>
      </w:pPr>
      <w:r w:rsidRPr="004F1289">
        <w:rPr>
          <w:b/>
        </w:rPr>
        <w:t>7.1.1.</w:t>
      </w:r>
      <w:r w:rsidRPr="004F1289">
        <w:t xml:space="preserve"> </w:t>
      </w:r>
      <w:r w:rsidRPr="004F1289">
        <w:rPr>
          <w:b/>
        </w:rPr>
        <w:t>Fon Yönetim Ücreti Oranı:</w:t>
      </w:r>
      <w:r w:rsidRPr="004F1289">
        <w:t xml:space="preserve"> </w:t>
      </w:r>
    </w:p>
    <w:p w14:paraId="0C88253F" w14:textId="7011F1C7" w:rsidR="00746780" w:rsidRDefault="006952E1" w:rsidP="00746780">
      <w:pPr>
        <w:ind w:firstLine="709"/>
      </w:pPr>
      <w:r>
        <w:t>F</w:t>
      </w:r>
      <w:r w:rsidR="00746780" w:rsidRPr="006601B7">
        <w:t>on toplam değerinin</w:t>
      </w:r>
      <w:r w:rsidR="008D26AF" w:rsidRPr="006601B7">
        <w:t xml:space="preserve"> </w:t>
      </w:r>
      <w:r w:rsidR="00746780" w:rsidRPr="006601B7">
        <w:t>günlük %0,00</w:t>
      </w:r>
      <w:r w:rsidR="008D26AF" w:rsidRPr="006601B7">
        <w:t>548</w:t>
      </w:r>
      <w:r w:rsidR="00746780" w:rsidRPr="006601B7">
        <w:t>'</w:t>
      </w:r>
      <w:r w:rsidR="008D26AF" w:rsidRPr="006601B7">
        <w:t>inden</w:t>
      </w:r>
      <w:r w:rsidR="00746780" w:rsidRPr="006601B7">
        <w:t xml:space="preserve"> (yüz binde </w:t>
      </w:r>
      <w:r w:rsidR="008D26AF" w:rsidRPr="006601B7">
        <w:t>beş</w:t>
      </w:r>
      <w:r w:rsidR="00746780" w:rsidRPr="006601B7">
        <w:t xml:space="preserve"> virgül</w:t>
      </w:r>
      <w:r w:rsidR="008D26AF" w:rsidRPr="006601B7">
        <w:t xml:space="preserve"> kırk sekiz</w:t>
      </w:r>
      <w:r w:rsidR="00746780" w:rsidRPr="006601B7">
        <w:t xml:space="preserve">) [yıllık </w:t>
      </w:r>
      <w:r w:rsidR="007363C5" w:rsidRPr="006601B7">
        <w:t xml:space="preserve">yaklaşık </w:t>
      </w:r>
      <w:r w:rsidR="00746780" w:rsidRPr="006601B7">
        <w:t>%</w:t>
      </w:r>
      <w:r w:rsidR="008D26AF" w:rsidRPr="006601B7">
        <w:t xml:space="preserve">2 </w:t>
      </w:r>
      <w:r w:rsidR="00746780" w:rsidRPr="006601B7">
        <w:t xml:space="preserve">(yüzde </w:t>
      </w:r>
      <w:r w:rsidR="008D26AF" w:rsidRPr="006601B7">
        <w:t>iki</w:t>
      </w:r>
      <w:r w:rsidR="00746780" w:rsidRPr="006601B7">
        <w:t xml:space="preserve">)] </w:t>
      </w:r>
      <w:r w:rsidR="00D9123B" w:rsidRPr="006601B7">
        <w:t xml:space="preserve">+ BSMV’den </w:t>
      </w:r>
      <w:r w:rsidR="00746780" w:rsidRPr="006601B7">
        <w:t>oluşan bir yönetim ücreti tahakkuk ettirilir</w:t>
      </w:r>
      <w:r w:rsidR="00746780" w:rsidRPr="004F1289">
        <w:t>.</w:t>
      </w:r>
      <w:r w:rsidR="00746780" w:rsidRPr="003705F0">
        <w:t xml:space="preserve"> B</w:t>
      </w:r>
      <w:r w:rsidR="00746780">
        <w:t>u ücret her ay sonunu izleyen bir hafta içinde, kurucu ile dağıtıcı arasında imzalanan sözleşme çerçevesinde belirlenen paylaşım esaslarına göre kurucuya ve dağıtıcıya fondan ödenecektir.</w:t>
      </w:r>
    </w:p>
    <w:p w14:paraId="5E09A000" w14:textId="77777777" w:rsidR="00746780" w:rsidRDefault="00746780" w:rsidP="00746780">
      <w:pPr>
        <w:ind w:firstLine="709"/>
      </w:pPr>
      <w:r>
        <w:t xml:space="preserve">Dağıtıcı ile kurucu arasında bir sözleşme olmaması durumunda Kurul tarafından belirlenen “genel komisyon oranı” uygulanır. </w:t>
      </w:r>
      <w:r>
        <w:rPr>
          <w:rFonts w:ascii="Calibri" w:hAnsi="Calibri"/>
          <w:sz w:val="22"/>
          <w:szCs w:val="22"/>
        </w:rPr>
        <w:t xml:space="preserve"> </w:t>
      </w:r>
    </w:p>
    <w:p w14:paraId="324C1018" w14:textId="01CEA2E5" w:rsidR="00746780" w:rsidRDefault="00746780" w:rsidP="00746780">
      <w:pPr>
        <w:ind w:firstLine="709"/>
      </w:pPr>
    </w:p>
    <w:p w14:paraId="6F4BDA18" w14:textId="77777777" w:rsidR="00B34EEF" w:rsidRPr="00EC42EC" w:rsidRDefault="00B34EEF" w:rsidP="00746780">
      <w:pPr>
        <w:ind w:firstLine="709"/>
      </w:pPr>
    </w:p>
    <w:p w14:paraId="2B12385E" w14:textId="77777777" w:rsidR="00746780" w:rsidRDefault="00746780" w:rsidP="00746780">
      <w:pPr>
        <w:ind w:firstLine="709"/>
        <w:rPr>
          <w:b/>
        </w:rPr>
      </w:pPr>
      <w:r w:rsidRPr="00EC42EC">
        <w:rPr>
          <w:b/>
        </w:rPr>
        <w:lastRenderedPageBreak/>
        <w:t>7.1.</w:t>
      </w:r>
      <w:r>
        <w:rPr>
          <w:b/>
        </w:rPr>
        <w:t>2</w:t>
      </w:r>
      <w:r w:rsidRPr="00EC42EC">
        <w:rPr>
          <w:b/>
        </w:rPr>
        <w:t>.Fon Portföyü</w:t>
      </w:r>
      <w:r>
        <w:rPr>
          <w:b/>
        </w:rPr>
        <w:t>ndeki Varlıkların Alım Satımına Aracılık Eden Kuruluşlar ve Aracılık İşlemleri</w:t>
      </w:r>
      <w:r w:rsidRPr="00EC42EC">
        <w:rPr>
          <w:b/>
        </w:rPr>
        <w:t xml:space="preserve"> İçin Ödenen Komisyonlar</w:t>
      </w:r>
    </w:p>
    <w:p w14:paraId="75094B35" w14:textId="77777777" w:rsidR="00746780" w:rsidRDefault="00746780" w:rsidP="00746780">
      <w:pPr>
        <w:ind w:firstLine="709"/>
        <w:rPr>
          <w:b/>
        </w:rPr>
      </w:pPr>
    </w:p>
    <w:p w14:paraId="00972106" w14:textId="4D69B815" w:rsidR="00746780" w:rsidRDefault="00746780" w:rsidP="00746780">
      <w:pPr>
        <w:ind w:firstLine="708"/>
      </w:pPr>
      <w:r w:rsidRPr="000C4DC4">
        <w:t xml:space="preserve">Fon portföyünde yer alan varlıkların alım satımına İş Yatırım Menkul Değerler A.Ş.(pay senetleri, yerli her türlü borçlanma aracı ve kira sertifikası, Takasbank Para Piyasası, </w:t>
      </w:r>
      <w:r>
        <w:t>Repo/</w:t>
      </w:r>
      <w:r w:rsidRPr="000C4DC4">
        <w:t xml:space="preserve">Ters Repo, VİOP), Oyak </w:t>
      </w:r>
      <w:r w:rsidR="00D72D80">
        <w:t xml:space="preserve">Yatırım </w:t>
      </w:r>
      <w:r w:rsidRPr="000C4DC4">
        <w:t xml:space="preserve">Menkul Değerler A.Ş.(pay senetleri, yerli her türlü borçlanma aracı ve kira sertifikası, Takasbank Para Piyasası, </w:t>
      </w:r>
      <w:r>
        <w:t>Repo/</w:t>
      </w:r>
      <w:r w:rsidRPr="000C4DC4">
        <w:t>Ters Repo, VİOP), Ünlü Menkul Değerler A.Ş. (pay senetleri, yerli her türlü borçlanma aracı ve kira sertifikası, VİOP) ve Phillip Capital Menkul Değerler A.Ş. (pay senetleri, yerli her türlü borçlanma aracı ve kira sertifikası,</w:t>
      </w:r>
      <w:r>
        <w:t xml:space="preserve"> </w:t>
      </w:r>
      <w:r w:rsidRPr="000C4DC4">
        <w:t xml:space="preserve">VİOP) aracılık etmektedir. Söz konusu aracılık işlemleri için uygulanan </w:t>
      </w:r>
      <w:r>
        <w:t xml:space="preserve">azami </w:t>
      </w:r>
      <w:r w:rsidRPr="000C4DC4">
        <w:t>komisyon oranları aşağıda yer almaktadır:</w:t>
      </w:r>
    </w:p>
    <w:p w14:paraId="6BC7DAEA" w14:textId="77777777" w:rsidR="00045885" w:rsidRPr="000C4DC4" w:rsidRDefault="00045885" w:rsidP="00746780">
      <w:pPr>
        <w:ind w:firstLine="708"/>
        <w:rPr>
          <w:b/>
        </w:rPr>
      </w:pPr>
    </w:p>
    <w:p w14:paraId="40DAA4E4" w14:textId="77777777" w:rsidR="00746780" w:rsidRPr="00EC42EC" w:rsidRDefault="00746780" w:rsidP="00746780">
      <w:pPr>
        <w:ind w:firstLine="709"/>
      </w:pPr>
    </w:p>
    <w:p w14:paraId="1EF4A422" w14:textId="77777777" w:rsidR="00746780" w:rsidRPr="00BC28DE" w:rsidRDefault="00746780" w:rsidP="00746780">
      <w:pPr>
        <w:pStyle w:val="ListeParagraf"/>
      </w:pPr>
      <w:r w:rsidRPr="00BC28DE">
        <w:t>1) Sabit Getirili Menkul Kesin alım satım</w:t>
      </w:r>
      <w:r w:rsidRPr="00BC28DE">
        <w:tab/>
        <w:t xml:space="preserve">: Yüzbinde 5 (Bsmv Hariç) </w:t>
      </w:r>
    </w:p>
    <w:p w14:paraId="2A498179" w14:textId="3BB1EF3E" w:rsidR="00746780" w:rsidRPr="00BC28DE" w:rsidRDefault="00746780" w:rsidP="00746780">
      <w:pPr>
        <w:pStyle w:val="ListeParagraf"/>
      </w:pPr>
      <w:r w:rsidRPr="00BC28DE">
        <w:t xml:space="preserve">2) Takasbank Para Piyasası (1-7 gün) </w:t>
      </w:r>
      <w:r w:rsidRPr="00BC28DE">
        <w:tab/>
        <w:t xml:space="preserve">: Yüzbinde </w:t>
      </w:r>
      <w:r w:rsidR="00592069">
        <w:t>3</w:t>
      </w:r>
      <w:r w:rsidRPr="00BC28DE">
        <w:t>,</w:t>
      </w:r>
      <w:r w:rsidR="00592069">
        <w:t>4</w:t>
      </w:r>
      <w:r w:rsidR="00592069" w:rsidRPr="00BC28DE">
        <w:t xml:space="preserve">52 </w:t>
      </w:r>
      <w:r w:rsidRPr="00BC28DE">
        <w:t xml:space="preserve">(Bsmv Hariç) </w:t>
      </w:r>
    </w:p>
    <w:p w14:paraId="60F8BF9E" w14:textId="77777777" w:rsidR="00746780" w:rsidRPr="00BC28DE" w:rsidRDefault="00746780" w:rsidP="00746780">
      <w:pPr>
        <w:pStyle w:val="ListeParagraf"/>
      </w:pPr>
      <w:r w:rsidRPr="00BC28DE">
        <w:t>3) Takasbank Para Piyasası (7 gün üstü)</w:t>
      </w:r>
      <w:r w:rsidRPr="00BC28DE">
        <w:tab/>
        <w:t>: Milyonda 5</w:t>
      </w:r>
      <w:r>
        <w:t>*</w:t>
      </w:r>
      <w:r w:rsidRPr="00BC28DE">
        <w:t xml:space="preserve"> Gün Sayısı (Bsmv Hariç)</w:t>
      </w:r>
    </w:p>
    <w:p w14:paraId="41DC073C" w14:textId="77777777" w:rsidR="00746780" w:rsidRPr="00BC28DE" w:rsidRDefault="00746780" w:rsidP="00746780">
      <w:pPr>
        <w:pStyle w:val="ListeParagraf"/>
      </w:pPr>
      <w:r w:rsidRPr="00BC28DE">
        <w:t>4) Repo-Ters Repo</w:t>
      </w:r>
      <w:r w:rsidRPr="00BC28DE">
        <w:tab/>
      </w:r>
      <w:r w:rsidRPr="00BC28DE">
        <w:tab/>
      </w:r>
      <w:r w:rsidRPr="00BC28DE">
        <w:tab/>
      </w:r>
      <w:r w:rsidRPr="00BC28DE">
        <w:tab/>
        <w:t>: Yüzbinde 1,125*Gün Sayısı (Bsmv Hariç)</w:t>
      </w:r>
    </w:p>
    <w:p w14:paraId="310E65C9" w14:textId="77777777" w:rsidR="00746780" w:rsidRPr="00BC28DE" w:rsidRDefault="00746780" w:rsidP="00746780">
      <w:pPr>
        <w:pStyle w:val="ListeParagraf"/>
      </w:pPr>
      <w:r w:rsidRPr="00BC28DE">
        <w:t>5) VİOP</w:t>
      </w:r>
      <w:r w:rsidRPr="00BC28DE">
        <w:tab/>
      </w:r>
      <w:r w:rsidRPr="00BC28DE">
        <w:tab/>
      </w:r>
      <w:r w:rsidRPr="00BC28DE">
        <w:tab/>
      </w:r>
      <w:r w:rsidRPr="00BC28DE">
        <w:tab/>
      </w:r>
      <w:r w:rsidRPr="00BC28DE">
        <w:tab/>
        <w:t>: Onbinde 3 (Bsmv Hariç)</w:t>
      </w:r>
    </w:p>
    <w:p w14:paraId="10639375" w14:textId="77777777" w:rsidR="00746780" w:rsidRPr="00BC28DE" w:rsidRDefault="00746780" w:rsidP="00746780">
      <w:pPr>
        <w:pStyle w:val="ListeParagraf"/>
      </w:pPr>
      <w:r w:rsidRPr="00BC28DE">
        <w:t>6) Pay Senetleri</w:t>
      </w:r>
      <w:r w:rsidRPr="00BC28DE">
        <w:tab/>
      </w:r>
      <w:r w:rsidRPr="00BC28DE">
        <w:tab/>
      </w:r>
      <w:r w:rsidRPr="00BC28DE">
        <w:tab/>
      </w:r>
      <w:r w:rsidRPr="00BC28DE">
        <w:tab/>
        <w:t>: Onbinde 4 (Bsmv Hariç)</w:t>
      </w:r>
    </w:p>
    <w:p w14:paraId="571CB543" w14:textId="77777777" w:rsidR="00746780" w:rsidRDefault="00746780" w:rsidP="00746780">
      <w:pPr>
        <w:pStyle w:val="ListeParagraf"/>
        <w:ind w:left="0" w:firstLine="709"/>
      </w:pPr>
      <w:r>
        <w:t>7)</w:t>
      </w:r>
      <w:r w:rsidRPr="00BC28DE">
        <w:t xml:space="preserve"> </w:t>
      </w:r>
      <w:r>
        <w:t>Yurtiçi Tahvil Bono İhaleleri</w:t>
      </w:r>
      <w:r>
        <w:tab/>
      </w:r>
      <w:r>
        <w:tab/>
        <w:t>: Yüzbinde 5 (BSMV Hariç)</w:t>
      </w:r>
    </w:p>
    <w:p w14:paraId="0362A94E" w14:textId="77777777" w:rsidR="00746780" w:rsidRDefault="00746780" w:rsidP="00746780">
      <w:pPr>
        <w:pStyle w:val="ListeParagraf"/>
        <w:ind w:left="0" w:firstLine="709"/>
      </w:pPr>
    </w:p>
    <w:p w14:paraId="7B05C044" w14:textId="77777777" w:rsidR="00746780" w:rsidRPr="00EC42EC" w:rsidRDefault="00746780" w:rsidP="00746780">
      <w:pPr>
        <w:pStyle w:val="ListeParagraf"/>
        <w:ind w:left="0" w:firstLine="709"/>
      </w:pPr>
    </w:p>
    <w:p w14:paraId="26ADF3FB" w14:textId="77777777" w:rsidR="00746780" w:rsidRDefault="00746780" w:rsidP="00746780">
      <w:pPr>
        <w:tabs>
          <w:tab w:val="num" w:pos="993"/>
        </w:tabs>
        <w:spacing w:after="200"/>
        <w:ind w:firstLine="709"/>
      </w:pPr>
      <w:r w:rsidRPr="00EC42EC">
        <w:rPr>
          <w:b/>
        </w:rPr>
        <w:t>7.1.</w:t>
      </w:r>
      <w:r w:rsidR="00736ED1">
        <w:rPr>
          <w:b/>
        </w:rPr>
        <w:t>3</w:t>
      </w:r>
      <w:r w:rsidRPr="00EC42EC">
        <w:rPr>
          <w:b/>
        </w:rPr>
        <w:t>.</w:t>
      </w:r>
      <w:r w:rsidRPr="00EC42EC">
        <w:t xml:space="preserve"> </w:t>
      </w:r>
      <w:r w:rsidRPr="00EC42EC">
        <w:rPr>
          <w:b/>
        </w:rPr>
        <w:t>Kurul Ücreti:</w:t>
      </w:r>
      <w:r w:rsidRPr="00EC42EC">
        <w:t xml:space="preserve"> Takvim yılı esas alınarak, üçer aylık dönemlerin son iş gününde Fon’un net varlık değeri üzerinden %0,005 (yüzbindebeş) oranında hesaplanacak ve ödenecek Kurul Ücreti Fon portföyünden karşılanır.</w:t>
      </w:r>
    </w:p>
    <w:p w14:paraId="7A75A0A6" w14:textId="31CB87B0" w:rsidR="00746780" w:rsidRDefault="00746780" w:rsidP="00746780">
      <w:pPr>
        <w:tabs>
          <w:tab w:val="num" w:pos="993"/>
        </w:tabs>
        <w:spacing w:after="200"/>
        <w:ind w:firstLine="709"/>
      </w:pPr>
      <w:r w:rsidRPr="00EC42EC">
        <w:rPr>
          <w:b/>
        </w:rPr>
        <w:t>7.</w:t>
      </w:r>
      <w:r>
        <w:rPr>
          <w:b/>
        </w:rPr>
        <w:t>1.</w:t>
      </w:r>
      <w:r w:rsidR="00736ED1">
        <w:rPr>
          <w:b/>
        </w:rPr>
        <w:t>4</w:t>
      </w:r>
      <w:r w:rsidRPr="00EC42EC">
        <w:rPr>
          <w:b/>
        </w:rPr>
        <w:t>.</w:t>
      </w:r>
      <w:r w:rsidRPr="00EC42EC">
        <w:t xml:space="preserve"> </w:t>
      </w:r>
      <w:r w:rsidRPr="00EC42EC">
        <w:rPr>
          <w:b/>
        </w:rPr>
        <w:t>Fon’un Bağlı Olduğu</w:t>
      </w:r>
      <w:r w:rsidRPr="00EC42EC">
        <w:t xml:space="preserve"> </w:t>
      </w:r>
      <w:r w:rsidRPr="00EC42EC">
        <w:rPr>
          <w:b/>
        </w:rPr>
        <w:t>Şemsiye Fona Ait Giderler:</w:t>
      </w:r>
      <w:r w:rsidRPr="00EC42EC">
        <w:t xml:space="preserve"> Şemsiye Fon’un kuruluş giderleri ile fonların katılma payı ihraç giderleri hariç olmak üzere, Şemsiye Fon için yapılması gereken tüm giderler Şemsiye Fona bağlı fonların toplam değerleri dikkate alınarak oransal olarak ilgili fonların portföylerinden karşılanır.</w:t>
      </w:r>
    </w:p>
    <w:p w14:paraId="0DA0F08D" w14:textId="77777777" w:rsidR="00746780" w:rsidRDefault="00746780" w:rsidP="00746780">
      <w:pPr>
        <w:tabs>
          <w:tab w:val="num" w:pos="993"/>
        </w:tabs>
        <w:spacing w:after="200"/>
        <w:ind w:firstLine="709"/>
        <w:rPr>
          <w:b/>
        </w:rPr>
      </w:pPr>
      <w:r>
        <w:rPr>
          <w:b/>
        </w:rPr>
        <w:t>7.1.</w:t>
      </w:r>
      <w:r w:rsidR="00736ED1">
        <w:rPr>
          <w:b/>
        </w:rPr>
        <w:t>5</w:t>
      </w:r>
      <w:r w:rsidRPr="00990540">
        <w:rPr>
          <w:b/>
        </w:rPr>
        <w:t>. Karşılık Ayrılacak Diğer Giderler ve Tahmini Tutarları</w:t>
      </w:r>
    </w:p>
    <w:p w14:paraId="72390898" w14:textId="77777777" w:rsidR="00746780" w:rsidRPr="002419EB" w:rsidRDefault="00746780" w:rsidP="00746780">
      <w:pPr>
        <w:tabs>
          <w:tab w:val="num" w:pos="993"/>
        </w:tabs>
        <w:spacing w:after="200"/>
        <w:ind w:firstLine="709"/>
      </w:pPr>
      <w:r w:rsidRPr="002419EB">
        <w:t>Fon malvarlığından karşılanan saklama ücreti ve diğer giderlere ilişkin güncel bilgilere yatırımcı bilgi formundan ulaşılabilir.</w:t>
      </w:r>
    </w:p>
    <w:p w14:paraId="110B91FA" w14:textId="77777777" w:rsidR="00746780" w:rsidRPr="00EC42EC" w:rsidRDefault="00746780" w:rsidP="00746780">
      <w:pPr>
        <w:pStyle w:val="Balk2"/>
        <w:ind w:firstLine="709"/>
        <w:rPr>
          <w:rFonts w:cs="Times New Roman"/>
          <w:sz w:val="24"/>
          <w:szCs w:val="24"/>
          <w:u w:val="single"/>
        </w:rPr>
      </w:pPr>
      <w:bookmarkStart w:id="26" w:name="_Toc94788082"/>
      <w:bookmarkStart w:id="27" w:name="_Toc94792711"/>
      <w:bookmarkStart w:id="28" w:name="_Toc94793568"/>
      <w:r w:rsidRPr="00EC42EC">
        <w:rPr>
          <w:rFonts w:cs="Times New Roman"/>
          <w:sz w:val="24"/>
          <w:szCs w:val="24"/>
          <w:u w:val="single"/>
        </w:rPr>
        <w:t>7.2. Kurucu Tarafından Karşılanan Giderler</w:t>
      </w:r>
      <w:bookmarkEnd w:id="26"/>
      <w:bookmarkEnd w:id="27"/>
      <w:bookmarkEnd w:id="28"/>
    </w:p>
    <w:p w14:paraId="03EBE6E3" w14:textId="77777777" w:rsidR="00746780" w:rsidRPr="00EC42EC" w:rsidRDefault="00746780" w:rsidP="00746780">
      <w:pPr>
        <w:pStyle w:val="Balk2"/>
        <w:ind w:firstLine="709"/>
        <w:rPr>
          <w:rFonts w:cs="Times New Roman"/>
          <w:sz w:val="24"/>
          <w:szCs w:val="24"/>
        </w:rPr>
      </w:pPr>
      <w:bookmarkStart w:id="29" w:name="_Toc94788083"/>
      <w:bookmarkStart w:id="30" w:name="_Toc94792712"/>
      <w:bookmarkStart w:id="31" w:name="_Toc94793569"/>
      <w:r w:rsidRPr="00EC42EC">
        <w:rPr>
          <w:b w:val="0"/>
          <w:sz w:val="24"/>
          <w:szCs w:val="24"/>
        </w:rPr>
        <w:t xml:space="preserve">Aşağıda tahmini tutarları gösterilen </w:t>
      </w:r>
      <w:r w:rsidRPr="002D354E">
        <w:rPr>
          <w:b w:val="0"/>
          <w:sz w:val="24"/>
          <w:szCs w:val="24"/>
        </w:rPr>
        <w:t xml:space="preserve">katılma paylarının satışı </w:t>
      </w:r>
      <w:r w:rsidRPr="00EC42EC">
        <w:rPr>
          <w:b w:val="0"/>
          <w:sz w:val="24"/>
          <w:szCs w:val="24"/>
        </w:rPr>
        <w:t>ilişkin giderler kurucu</w:t>
      </w:r>
      <w:r>
        <w:rPr>
          <w:b w:val="0"/>
          <w:sz w:val="24"/>
          <w:szCs w:val="24"/>
        </w:rPr>
        <w:t xml:space="preserve"> </w:t>
      </w:r>
      <w:r w:rsidRPr="00EC42EC">
        <w:rPr>
          <w:b w:val="0"/>
          <w:sz w:val="24"/>
          <w:szCs w:val="24"/>
        </w:rPr>
        <w:t>tarafından karşılanacaktır.</w:t>
      </w:r>
      <w:bookmarkEnd w:id="29"/>
      <w:bookmarkEnd w:id="30"/>
      <w:bookmarkEnd w:id="31"/>
    </w:p>
    <w:p w14:paraId="0C053563" w14:textId="77777777" w:rsidR="00746780" w:rsidRPr="00EC42EC" w:rsidRDefault="00746780" w:rsidP="00746780"/>
    <w:tbl>
      <w:tblPr>
        <w:tblW w:w="609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3494"/>
      </w:tblGrid>
      <w:tr w:rsidR="00746780" w:rsidRPr="00EC42EC" w14:paraId="49ADA47F" w14:textId="77777777" w:rsidTr="00383462">
        <w:tc>
          <w:tcPr>
            <w:tcW w:w="2601" w:type="dxa"/>
            <w:shd w:val="clear" w:color="auto" w:fill="auto"/>
          </w:tcPr>
          <w:p w14:paraId="3EDDBCCE" w14:textId="77777777" w:rsidR="00746780" w:rsidRPr="00EC42EC" w:rsidRDefault="00746780" w:rsidP="00383462">
            <w:pPr>
              <w:rPr>
                <w:b/>
              </w:rPr>
            </w:pPr>
            <w:r w:rsidRPr="00EC42EC">
              <w:rPr>
                <w:b/>
              </w:rPr>
              <w:t>Gider Türü</w:t>
            </w:r>
          </w:p>
        </w:tc>
        <w:tc>
          <w:tcPr>
            <w:tcW w:w="3494" w:type="dxa"/>
            <w:shd w:val="clear" w:color="auto" w:fill="auto"/>
          </w:tcPr>
          <w:p w14:paraId="5BA0FA42" w14:textId="77777777" w:rsidR="00746780" w:rsidRPr="00EC42EC" w:rsidRDefault="00746780" w:rsidP="00383462">
            <w:pPr>
              <w:rPr>
                <w:b/>
              </w:rPr>
            </w:pPr>
            <w:r w:rsidRPr="00EC42EC">
              <w:rPr>
                <w:b/>
              </w:rPr>
              <w:t>Tutarı (TL)</w:t>
            </w:r>
          </w:p>
        </w:tc>
      </w:tr>
      <w:tr w:rsidR="00746780" w:rsidRPr="00EC42EC" w14:paraId="4275CAA5" w14:textId="77777777" w:rsidTr="00383462">
        <w:tc>
          <w:tcPr>
            <w:tcW w:w="2601" w:type="dxa"/>
            <w:shd w:val="clear" w:color="auto" w:fill="auto"/>
          </w:tcPr>
          <w:p w14:paraId="258C72E8" w14:textId="77777777" w:rsidR="00746780" w:rsidRPr="00EC42EC" w:rsidRDefault="00746780" w:rsidP="00383462">
            <w:r w:rsidRPr="00EC42EC">
              <w:t>Tescil ve İlan Giderleri</w:t>
            </w:r>
          </w:p>
        </w:tc>
        <w:tc>
          <w:tcPr>
            <w:tcW w:w="3494" w:type="dxa"/>
            <w:shd w:val="clear" w:color="auto" w:fill="auto"/>
          </w:tcPr>
          <w:p w14:paraId="1820EECC" w14:textId="77777777" w:rsidR="00746780" w:rsidRPr="00EC42EC" w:rsidRDefault="00746780" w:rsidP="00383462">
            <w:r>
              <w:t>5.000 TL</w:t>
            </w:r>
          </w:p>
        </w:tc>
      </w:tr>
      <w:tr w:rsidR="00746780" w:rsidRPr="00EC42EC" w14:paraId="58940E49" w14:textId="77777777" w:rsidTr="00383462">
        <w:tc>
          <w:tcPr>
            <w:tcW w:w="2601" w:type="dxa"/>
            <w:shd w:val="clear" w:color="auto" w:fill="auto"/>
          </w:tcPr>
          <w:p w14:paraId="3BEC012C" w14:textId="77777777" w:rsidR="00746780" w:rsidRPr="00EC42EC" w:rsidRDefault="00746780" w:rsidP="00383462">
            <w:r w:rsidRPr="00EC42EC">
              <w:t>Diğer Giderler</w:t>
            </w:r>
          </w:p>
        </w:tc>
        <w:tc>
          <w:tcPr>
            <w:tcW w:w="3494" w:type="dxa"/>
            <w:shd w:val="clear" w:color="auto" w:fill="auto"/>
          </w:tcPr>
          <w:p w14:paraId="67F5B7AB" w14:textId="77777777" w:rsidR="00746780" w:rsidRPr="00EC42EC" w:rsidRDefault="00746780" w:rsidP="00383462">
            <w:r>
              <w:t>5.000 TL</w:t>
            </w:r>
          </w:p>
        </w:tc>
      </w:tr>
      <w:tr w:rsidR="00746780" w:rsidRPr="00EC42EC" w14:paraId="71F518F0" w14:textId="77777777" w:rsidTr="00383462">
        <w:tc>
          <w:tcPr>
            <w:tcW w:w="2601" w:type="dxa"/>
            <w:shd w:val="clear" w:color="auto" w:fill="auto"/>
          </w:tcPr>
          <w:p w14:paraId="42F4E754" w14:textId="77777777" w:rsidR="00746780" w:rsidRPr="00EC42EC" w:rsidRDefault="00746780" w:rsidP="00383462">
            <w:pPr>
              <w:rPr>
                <w:b/>
              </w:rPr>
            </w:pPr>
            <w:r w:rsidRPr="00EC42EC">
              <w:rPr>
                <w:b/>
              </w:rPr>
              <w:t>TOPLAM</w:t>
            </w:r>
          </w:p>
        </w:tc>
        <w:tc>
          <w:tcPr>
            <w:tcW w:w="3494" w:type="dxa"/>
            <w:shd w:val="clear" w:color="auto" w:fill="auto"/>
          </w:tcPr>
          <w:p w14:paraId="485B4F11" w14:textId="77777777" w:rsidR="00746780" w:rsidRPr="00EC42EC" w:rsidRDefault="00746780" w:rsidP="00383462">
            <w:pPr>
              <w:rPr>
                <w:b/>
              </w:rPr>
            </w:pPr>
            <w:r>
              <w:rPr>
                <w:b/>
              </w:rPr>
              <w:t>10.000 TL</w:t>
            </w:r>
          </w:p>
        </w:tc>
      </w:tr>
    </w:tbl>
    <w:p w14:paraId="62CAA041" w14:textId="77777777" w:rsidR="00736ED1" w:rsidRDefault="00736ED1" w:rsidP="00736ED1">
      <w:bookmarkStart w:id="32" w:name="_Toc94788084"/>
      <w:bookmarkStart w:id="33" w:name="_Toc94793570"/>
    </w:p>
    <w:p w14:paraId="1272BB34" w14:textId="77777777" w:rsidR="00736ED1" w:rsidRPr="00DD3B5D" w:rsidRDefault="00736ED1" w:rsidP="00746780">
      <w:pPr>
        <w:pStyle w:val="Balk2"/>
        <w:tabs>
          <w:tab w:val="left" w:pos="1134"/>
        </w:tabs>
        <w:ind w:firstLine="708"/>
        <w:rPr>
          <w:rFonts w:cs="Times New Roman"/>
          <w:b w:val="0"/>
          <w:sz w:val="24"/>
          <w:szCs w:val="24"/>
        </w:rPr>
      </w:pPr>
      <w:r w:rsidRPr="00DD3B5D">
        <w:rPr>
          <w:rFonts w:cs="Times New Roman"/>
          <w:b w:val="0"/>
          <w:sz w:val="24"/>
          <w:szCs w:val="24"/>
        </w:rPr>
        <w:lastRenderedPageBreak/>
        <w:t>*Diğer giderler= Yasal defter teminleri + ISIN kodu masrafı + MKK ihraç bedeli + Kaşe masrafı</w:t>
      </w:r>
    </w:p>
    <w:p w14:paraId="56846858" w14:textId="77777777" w:rsidR="00736ED1" w:rsidRPr="00E97834" w:rsidRDefault="00736ED1" w:rsidP="00DD3B5D"/>
    <w:p w14:paraId="30A3E97D" w14:textId="77777777" w:rsidR="00746780" w:rsidRPr="00EC42EC" w:rsidRDefault="00746780" w:rsidP="00746780">
      <w:pPr>
        <w:pStyle w:val="Balk2"/>
        <w:tabs>
          <w:tab w:val="left" w:pos="1134"/>
        </w:tabs>
        <w:ind w:firstLine="708"/>
        <w:rPr>
          <w:rFonts w:cs="Times New Roman"/>
          <w:sz w:val="24"/>
          <w:szCs w:val="24"/>
        </w:rPr>
      </w:pPr>
      <w:r w:rsidRPr="00EC42EC">
        <w:rPr>
          <w:rFonts w:cs="Times New Roman"/>
          <w:sz w:val="24"/>
          <w:szCs w:val="24"/>
        </w:rPr>
        <w:t>VIII. FONUN VERGİLENDİRİLMESİ:</w:t>
      </w:r>
      <w:bookmarkEnd w:id="32"/>
      <w:bookmarkEnd w:id="33"/>
    </w:p>
    <w:p w14:paraId="1B411B02" w14:textId="77777777" w:rsidR="00746780" w:rsidRPr="00EC42EC" w:rsidRDefault="00746780" w:rsidP="00746780">
      <w:pPr>
        <w:tabs>
          <w:tab w:val="left" w:pos="1134"/>
        </w:tabs>
        <w:ind w:firstLine="708"/>
      </w:pPr>
    </w:p>
    <w:p w14:paraId="2BB5D0DA" w14:textId="77777777" w:rsidR="00746780" w:rsidRPr="00EC42EC" w:rsidRDefault="00746780" w:rsidP="00746780">
      <w:pPr>
        <w:tabs>
          <w:tab w:val="left" w:pos="1134"/>
        </w:tabs>
        <w:ind w:left="720"/>
        <w:rPr>
          <w:b/>
          <w:bCs/>
        </w:rPr>
      </w:pPr>
      <w:r w:rsidRPr="00EC42EC">
        <w:rPr>
          <w:b/>
          <w:bCs/>
        </w:rPr>
        <w:t>8.1. Fon Portföy İşletmeciliği Kazançlarının Vergilendirilmesi</w:t>
      </w:r>
    </w:p>
    <w:p w14:paraId="791A0CB7" w14:textId="77777777" w:rsidR="00746780" w:rsidRPr="00EC42EC" w:rsidRDefault="00746780" w:rsidP="00746780">
      <w:pPr>
        <w:tabs>
          <w:tab w:val="left" w:pos="1134"/>
        </w:tabs>
        <w:ind w:firstLine="708"/>
        <w:rPr>
          <w:b/>
          <w:bCs/>
        </w:rPr>
      </w:pPr>
    </w:p>
    <w:p w14:paraId="7766BA4B" w14:textId="77777777" w:rsidR="00746780" w:rsidRPr="00EC42EC" w:rsidRDefault="00746780" w:rsidP="00746780">
      <w:pPr>
        <w:numPr>
          <w:ilvl w:val="1"/>
          <w:numId w:val="6"/>
        </w:numPr>
        <w:tabs>
          <w:tab w:val="left" w:pos="1134"/>
        </w:tabs>
        <w:ind w:left="0" w:firstLine="708"/>
        <w:rPr>
          <w:bCs/>
        </w:rPr>
      </w:pPr>
      <w:r w:rsidRPr="00EC42EC">
        <w:rPr>
          <w:b/>
          <w:bCs/>
        </w:rPr>
        <w:t xml:space="preserve">Kurumlar Vergisi Düzenlemesi Açısından: </w:t>
      </w:r>
      <w:r w:rsidRPr="00EC42EC">
        <w:t>5520 sayılı Kurumlar Vergisi Kanunu’nun 5'inci maddesinin 1 numaralı bendinin (d) alt bendi uyarınca, menkul kıymet yatırım fonlarının portföy işletmeciliğinden doğan kazançları kurumlar vergisinden istisnadır.</w:t>
      </w:r>
    </w:p>
    <w:p w14:paraId="3B05CC27" w14:textId="77777777" w:rsidR="00746780" w:rsidRPr="00EC42EC" w:rsidRDefault="00746780" w:rsidP="00746780">
      <w:pPr>
        <w:tabs>
          <w:tab w:val="left" w:pos="1134"/>
        </w:tabs>
        <w:ind w:firstLine="708"/>
        <w:rPr>
          <w:bCs/>
        </w:rPr>
      </w:pPr>
    </w:p>
    <w:p w14:paraId="6875C636" w14:textId="77777777" w:rsidR="00746780" w:rsidRPr="00EC42EC" w:rsidRDefault="00746780" w:rsidP="00746780">
      <w:pPr>
        <w:numPr>
          <w:ilvl w:val="1"/>
          <w:numId w:val="6"/>
        </w:numPr>
        <w:tabs>
          <w:tab w:val="left" w:pos="1134"/>
        </w:tabs>
        <w:ind w:left="0" w:firstLine="708"/>
        <w:rPr>
          <w:bCs/>
        </w:rPr>
      </w:pPr>
      <w:r w:rsidRPr="00EC42EC">
        <w:rPr>
          <w:b/>
          <w:bCs/>
        </w:rPr>
        <w:t xml:space="preserve">Gelir Vergisi Düzenlemesi Açısından: </w:t>
      </w:r>
      <w:r w:rsidRPr="00EC42EC">
        <w:rPr>
          <w:bCs/>
        </w:rPr>
        <w:t xml:space="preserve">Fonların portföy işletmeciliği kazançları, </w:t>
      </w:r>
      <w:r w:rsidRPr="00EC42EC">
        <w:t xml:space="preserve">Gelir Vergisi Kanunu’nun geçici 67. maddesinin (8) numaralı bendi uyarınca, </w:t>
      </w:r>
      <w:r w:rsidRPr="00EC42EC">
        <w:rPr>
          <w:bCs/>
        </w:rPr>
        <w:t xml:space="preserve">%0 oranında gelir vergisi tevfikatına tabidir. </w:t>
      </w:r>
    </w:p>
    <w:p w14:paraId="094201DA" w14:textId="77777777" w:rsidR="00746780" w:rsidRPr="00EC42EC" w:rsidRDefault="00746780" w:rsidP="00746780">
      <w:pPr>
        <w:pStyle w:val="ListeParagraf"/>
        <w:tabs>
          <w:tab w:val="left" w:pos="1134"/>
        </w:tabs>
        <w:ind w:left="0" w:firstLine="708"/>
        <w:rPr>
          <w:b/>
          <w:bCs/>
        </w:rPr>
      </w:pPr>
    </w:p>
    <w:p w14:paraId="444DC1D1" w14:textId="77777777" w:rsidR="00746780" w:rsidRPr="00EC42EC" w:rsidRDefault="00746780" w:rsidP="00746780">
      <w:pPr>
        <w:pStyle w:val="ListeParagraf"/>
        <w:tabs>
          <w:tab w:val="left" w:pos="1134"/>
        </w:tabs>
        <w:rPr>
          <w:bCs/>
        </w:rPr>
      </w:pPr>
      <w:r w:rsidRPr="00EC42EC">
        <w:rPr>
          <w:b/>
          <w:bCs/>
        </w:rPr>
        <w:t>8.2. Katılma Payı Satın Alanların Vergilendirilmesi</w:t>
      </w:r>
    </w:p>
    <w:p w14:paraId="76113C8C" w14:textId="77777777" w:rsidR="00746780" w:rsidRPr="00EC42EC" w:rsidRDefault="00746780" w:rsidP="00746780">
      <w:pPr>
        <w:pStyle w:val="ListeParagraf"/>
        <w:tabs>
          <w:tab w:val="left" w:pos="1134"/>
        </w:tabs>
        <w:ind w:left="0" w:firstLine="708"/>
        <w:rPr>
          <w:bCs/>
        </w:rPr>
      </w:pPr>
    </w:p>
    <w:p w14:paraId="2D79D7A5" w14:textId="77777777" w:rsidR="00606965" w:rsidRPr="006C4745" w:rsidRDefault="00606965" w:rsidP="00606965">
      <w:pPr>
        <w:ind w:firstLine="708"/>
        <w:rPr>
          <w:rFonts w:eastAsiaTheme="minorHAnsi"/>
          <w:lang w:eastAsia="en-US"/>
        </w:rPr>
      </w:pPr>
      <w:r w:rsidRPr="006C4745">
        <w:rPr>
          <w:rFonts w:eastAsiaTheme="minorHAnsi"/>
          <w:lang w:eastAsia="en-US"/>
        </w:rPr>
        <w:t xml:space="preserve">Gelir Vergisi Kanunu’nun geçici 67. maddesi uyarınca Sermaye Piyasası Kanununa göre kurulan menkul kıymetler yatırım fonlarından hisse senedi yoğun fon niteliğine sahip fonların katılma belgelerinin ilgili olduğu fona iadesinde %0 oranında gelir vergisi </w:t>
      </w:r>
      <w:r>
        <w:rPr>
          <w:rFonts w:eastAsiaTheme="minorHAnsi"/>
          <w:lang w:eastAsia="en-US"/>
        </w:rPr>
        <w:t>tevkifatı</w:t>
      </w:r>
      <w:r w:rsidRPr="006C4745">
        <w:rPr>
          <w:rFonts w:eastAsiaTheme="minorHAnsi"/>
          <w:lang w:eastAsia="en-US"/>
        </w:rPr>
        <w:t xml:space="preserve"> uygulanır. Tebliğin 24’üncü maddesinin beşinci fıkrası hükümleri saklı kalmak kaydıyla, bir fonun, hisse senedi yoğun fon olarak sınıflandırılabilmesi için günlük olarak gerekli olan şartları sağlamaması halinde, sağlanmayan günlere ilişkin, fonun, yatırımcıların ve/veya yatırım fonu katılma payı alım satımını yapan kuruluşların tabi olacağı tüm yükümlülüklerin yerine getirilmesinden de kurucu ve portföy saklayıcısı müteselsilen sorumludur.</w:t>
      </w:r>
    </w:p>
    <w:p w14:paraId="3652A378" w14:textId="77777777" w:rsidR="00606965" w:rsidRPr="006C4745" w:rsidRDefault="00606965" w:rsidP="00606965">
      <w:pPr>
        <w:ind w:firstLine="708"/>
        <w:rPr>
          <w:rFonts w:eastAsiaTheme="minorHAnsi"/>
          <w:color w:val="FF0000"/>
          <w:lang w:eastAsia="en-US"/>
        </w:rPr>
      </w:pPr>
      <w:r w:rsidRPr="006C4745">
        <w:rPr>
          <w:rFonts w:eastAsiaTheme="minorHAnsi"/>
          <w:lang w:eastAsia="en-US"/>
        </w:rPr>
        <w:t>KVK’nın ikinci maddesinin birinci fıkrası kapsamındaki mükellefler ile münhasıran menkul kıymet ve diğer sermaye piyasası aracı getirileri ile değer artışı kazançları elde etmek ve bunlara bağlı hakları kullanmak amacıyla faaliyette bulunan mükelleflerden Sermaye Piyasası Kanununa göre kurulan yatırım fonları ve yatırım ortaklıklarıyla benzer nitelikte olduğu T.C. Hazine ve Maliye Bakanlığınca belirlenenler için bu oran %0 olarak uygulanır.</w:t>
      </w:r>
    </w:p>
    <w:p w14:paraId="3385F6AA" w14:textId="77777777" w:rsidR="00746780" w:rsidRPr="00EC42EC" w:rsidRDefault="00746780" w:rsidP="00746780">
      <w:pPr>
        <w:tabs>
          <w:tab w:val="left" w:pos="1134"/>
        </w:tabs>
        <w:ind w:firstLine="708"/>
      </w:pPr>
    </w:p>
    <w:p w14:paraId="35549640" w14:textId="77777777" w:rsidR="00746780" w:rsidRPr="00EC42EC" w:rsidRDefault="00746780" w:rsidP="00746780">
      <w:pPr>
        <w:tabs>
          <w:tab w:val="left" w:pos="1134"/>
        </w:tabs>
        <w:ind w:firstLine="708"/>
      </w:pPr>
      <w:r w:rsidRPr="00EC42EC">
        <w:t>Gelir Vergisi Kanunu’nun geçici 67. maddesinin (8) numaralı bendi uyarınca fon katılma paylarının fona iadesinden elde edilen gelirler için yıllık beyanname verilmez. Diğer gelirler nedeniyle beyanname verilmesi halinde de bu gelirler beyannameye dahil edilmez. Ticarî işletmeye dahil olan bu nitelikteki gelirler, bu fıkra kapsamı dışındadır.</w:t>
      </w:r>
    </w:p>
    <w:p w14:paraId="0914DB76" w14:textId="77777777" w:rsidR="00746780" w:rsidRPr="00EC42EC" w:rsidRDefault="00746780" w:rsidP="00746780">
      <w:pPr>
        <w:tabs>
          <w:tab w:val="left" w:pos="1134"/>
        </w:tabs>
        <w:ind w:firstLine="708"/>
      </w:pPr>
    </w:p>
    <w:p w14:paraId="0033F8EA" w14:textId="77777777" w:rsidR="00746780" w:rsidRPr="00EC42EC" w:rsidRDefault="00746780" w:rsidP="00746780">
      <w:pPr>
        <w:tabs>
          <w:tab w:val="left" w:pos="1134"/>
        </w:tabs>
        <w:ind w:firstLine="708"/>
      </w:pPr>
      <w:r w:rsidRPr="00EC42EC">
        <w:t>Kurumlar Vergisi Kanunu Geçici Madde 1 uyarınca dar mükellef kurumların Türkiye'deki iş yerlerine atfedilmeyen veya daimî temsilcilerinin aracılığı olmaksızın elde edilen ve Gelir Vergisi Kanununun geçici 67 nci maddesi kapsamında kesinti yapılmış kazançları ile bu kurumların tam mükellef kurumlara ait olup BIST’t</w:t>
      </w:r>
      <w:r w:rsidR="00736ED1">
        <w:t>e</w:t>
      </w:r>
      <w:r w:rsidRPr="00EC42EC">
        <w:t xml:space="preserve"> işlem gören ve bir yıldan fazla süreyle elde tutulan pay senetlerinin elden çıkarılmasından sağlanan ve geçici 67 nci maddenin (1) numaralı fıkrasının altıncı paragrafı kapsamında vergi kesintisine tâbi tutulmayan kazançları ve bu kurumların daimî temsilcileri aracılığıyla elde ettikleri tamamı geçici 67 nci madde kapsamında vergi kesintisine tâbi tutulmuş kazançları için yıllık veya özel beyanname verilmez.</w:t>
      </w:r>
    </w:p>
    <w:p w14:paraId="64E0E194" w14:textId="77777777" w:rsidR="00746780" w:rsidRDefault="00746780" w:rsidP="00746780">
      <w:pPr>
        <w:tabs>
          <w:tab w:val="left" w:pos="1134"/>
        </w:tabs>
        <w:ind w:firstLine="708"/>
        <w:rPr>
          <w:b/>
        </w:rPr>
      </w:pPr>
    </w:p>
    <w:p w14:paraId="223AC9EE" w14:textId="77777777" w:rsidR="00DE6006" w:rsidRPr="00EC42EC" w:rsidRDefault="00C4138A" w:rsidP="00746780">
      <w:pPr>
        <w:tabs>
          <w:tab w:val="left" w:pos="1134"/>
        </w:tabs>
        <w:ind w:firstLine="708"/>
        <w:rPr>
          <w:b/>
        </w:rPr>
      </w:pPr>
      <w:r w:rsidRPr="00C4138A">
        <w:lastRenderedPageBreak/>
        <w:t>Kurumların, tam mükellefiyete tabi yatırım fonu katılma paylarından elde ettikleri kazançların (portföyünde yabancı para birimi cinsinden varlık ve altın ile diğer kıymetli madenler ve bunlara dayalı sermaye piyasası araçları bulunan yatırım fonlarından elde edilen kazançlar hariç) vergilendirilmesinde Kurumlar Vergisi Kanunu’nun 5 inci maddesinin birinci fıkrasının (a) bendinin dördüncü ve beşinci alt bendi hükümleri uygulanır.</w:t>
      </w:r>
    </w:p>
    <w:p w14:paraId="4461652F" w14:textId="77777777" w:rsidR="00746780" w:rsidRPr="00EC42EC" w:rsidRDefault="00746780" w:rsidP="00746780">
      <w:pPr>
        <w:tabs>
          <w:tab w:val="left" w:pos="1134"/>
        </w:tabs>
        <w:ind w:firstLine="708"/>
        <w:rPr>
          <w:b/>
        </w:rPr>
      </w:pPr>
    </w:p>
    <w:p w14:paraId="67739EFA" w14:textId="77777777" w:rsidR="00746780" w:rsidRPr="00EC42EC" w:rsidRDefault="00746780" w:rsidP="00746780">
      <w:pPr>
        <w:tabs>
          <w:tab w:val="left" w:pos="1134"/>
        </w:tabs>
        <w:ind w:firstLine="708"/>
        <w:rPr>
          <w:b/>
        </w:rPr>
      </w:pPr>
      <w:r w:rsidRPr="00EC42EC">
        <w:rPr>
          <w:b/>
        </w:rPr>
        <w:t>IX.</w:t>
      </w:r>
      <w:r w:rsidRPr="00EC42EC">
        <w:rPr>
          <w:b/>
        </w:rPr>
        <w:tab/>
        <w:t xml:space="preserve"> FİNANSAL RAPORLAMA ESASLARI </w:t>
      </w:r>
      <w:r>
        <w:rPr>
          <w:b/>
        </w:rPr>
        <w:t>İLE</w:t>
      </w:r>
      <w:r w:rsidRPr="00EC42EC">
        <w:rPr>
          <w:b/>
        </w:rPr>
        <w:t xml:space="preserve"> FONLA İLGİLİ BİLGİLER</w:t>
      </w:r>
      <w:r>
        <w:rPr>
          <w:b/>
        </w:rPr>
        <w:t xml:space="preserve">E VE FON PORTFÖYÜNDE YER ALAN VARLIKLARA İLİŞKİN </w:t>
      </w:r>
      <w:r w:rsidRPr="00EC42EC">
        <w:rPr>
          <w:b/>
        </w:rPr>
        <w:t>AÇIKLA</w:t>
      </w:r>
      <w:r>
        <w:rPr>
          <w:b/>
        </w:rPr>
        <w:t>MALAR</w:t>
      </w:r>
    </w:p>
    <w:p w14:paraId="59A6D408" w14:textId="77777777" w:rsidR="00746780" w:rsidRPr="00EC42EC" w:rsidRDefault="00746780" w:rsidP="00746780">
      <w:pPr>
        <w:tabs>
          <w:tab w:val="left" w:pos="1134"/>
        </w:tabs>
        <w:ind w:firstLine="708"/>
        <w:rPr>
          <w:b/>
          <w:u w:val="single"/>
        </w:rPr>
      </w:pPr>
    </w:p>
    <w:p w14:paraId="7021105E" w14:textId="77777777" w:rsidR="00746780" w:rsidRPr="00EC42EC" w:rsidRDefault="00746780" w:rsidP="00746780">
      <w:pPr>
        <w:tabs>
          <w:tab w:val="left" w:pos="1134"/>
        </w:tabs>
        <w:ind w:firstLine="708"/>
      </w:pPr>
      <w:r w:rsidRPr="00EC42EC">
        <w:rPr>
          <w:b/>
        </w:rPr>
        <w:t xml:space="preserve">9.1. </w:t>
      </w:r>
      <w:r w:rsidRPr="00EC42EC">
        <w:t>Fon'un hesap dönemi takvim yılıdır. Ancak ilk hesap dönemi Fon'un kuruluş tarihinden başlayarak o yılın Aralık ayının sonuna kadar olan süredir.</w:t>
      </w:r>
    </w:p>
    <w:p w14:paraId="3F7DE1B5" w14:textId="77777777" w:rsidR="00746780" w:rsidRPr="00EC42EC" w:rsidRDefault="00746780" w:rsidP="00746780">
      <w:pPr>
        <w:tabs>
          <w:tab w:val="left" w:pos="1134"/>
        </w:tabs>
        <w:ind w:firstLine="708"/>
        <w:rPr>
          <w:b/>
        </w:rPr>
      </w:pPr>
    </w:p>
    <w:p w14:paraId="5B48A475" w14:textId="77777777" w:rsidR="00746780" w:rsidRPr="00EC42EC" w:rsidRDefault="00746780" w:rsidP="00746780">
      <w:pPr>
        <w:tabs>
          <w:tab w:val="left" w:pos="1134"/>
        </w:tabs>
        <w:ind w:firstLine="708"/>
      </w:pPr>
      <w:r w:rsidRPr="00EC42EC">
        <w:rPr>
          <w:b/>
        </w:rPr>
        <w:t xml:space="preserve">9.2. </w:t>
      </w:r>
      <w:r w:rsidRPr="00EC42EC">
        <w:t>Finansal tabloların bağımsız denetiminde Kurulun bağımsız denetimle ilgili düzenlemelerine uyulur. Finansal tablo hazırlama yükümlülüğünün bulunduğu ilgili hesap döneminin son günü itibarıyla hazırlanan portföy raporları da finansal tablolarla birlikte bağımsız denetimden geçirilir.</w:t>
      </w:r>
      <w:r w:rsidRPr="00EC42EC">
        <w:rPr>
          <w:rStyle w:val="DipnotBavurusu"/>
        </w:rPr>
        <w:t xml:space="preserve"> </w:t>
      </w:r>
    </w:p>
    <w:p w14:paraId="0CDA1631" w14:textId="77777777" w:rsidR="00746780" w:rsidRPr="00EC42EC" w:rsidRDefault="00746780" w:rsidP="00746780">
      <w:pPr>
        <w:tabs>
          <w:tab w:val="left" w:pos="1134"/>
        </w:tabs>
        <w:ind w:firstLine="708"/>
      </w:pPr>
    </w:p>
    <w:p w14:paraId="259208AE" w14:textId="77777777" w:rsidR="00746780" w:rsidRPr="00EC42EC" w:rsidRDefault="00746780" w:rsidP="00746780">
      <w:pPr>
        <w:tabs>
          <w:tab w:val="left" w:pos="1134"/>
        </w:tabs>
        <w:ind w:firstLine="708"/>
      </w:pPr>
      <w:r w:rsidRPr="00EC42EC">
        <w:rPr>
          <w:b/>
        </w:rPr>
        <w:t>9.3.</w:t>
      </w:r>
      <w:r w:rsidRPr="00EC42EC">
        <w:t xml:space="preserve"> Fonlar tasfiye tarihi itibarıyla özel bağımsız denetime tabidir</w:t>
      </w:r>
      <w:r w:rsidRPr="00EC42EC">
        <w:rPr>
          <w:color w:val="000000"/>
        </w:rPr>
        <w:t xml:space="preserve">. </w:t>
      </w:r>
      <w:r w:rsidRPr="00EC42EC">
        <w:t>Kurucu, Fon’un yıllık finansal tablolarını, ilgili hesap döneminin bitimini takip eden 60 gün içinde KAP’ta ilan eder. Finansal tabloların son bildirim gününün resmi tatil gününe denk gelmesi halinde resmi tatil gününü takip eden ilk iş günü son bildirim tarihidir.</w:t>
      </w:r>
    </w:p>
    <w:p w14:paraId="6E63BB7F" w14:textId="77777777" w:rsidR="00746780" w:rsidRPr="00EC42EC" w:rsidRDefault="00746780" w:rsidP="00746780">
      <w:pPr>
        <w:tabs>
          <w:tab w:val="left" w:pos="1134"/>
        </w:tabs>
        <w:ind w:firstLine="708"/>
      </w:pPr>
    </w:p>
    <w:p w14:paraId="031CF180" w14:textId="77777777" w:rsidR="00746780" w:rsidRDefault="00746780" w:rsidP="00746780">
      <w:pPr>
        <w:tabs>
          <w:tab w:val="left" w:pos="1134"/>
        </w:tabs>
        <w:ind w:firstLine="708"/>
      </w:pPr>
      <w:r w:rsidRPr="00EC42EC">
        <w:rPr>
          <w:b/>
        </w:rPr>
        <w:t>9.4.</w:t>
      </w:r>
      <w:r w:rsidRPr="00EC42EC">
        <w:t xml:space="preserve"> </w:t>
      </w:r>
      <w:r w:rsidRPr="00E87C08">
        <w:rPr>
          <w:b/>
        </w:rPr>
        <w:t xml:space="preserve">Şemsiye fon içtüzüğüne, bu izahnameye, </w:t>
      </w:r>
      <w:r>
        <w:rPr>
          <w:b/>
        </w:rPr>
        <w:t xml:space="preserve">yatırımcı bilgi formuna, </w:t>
      </w:r>
      <w:r w:rsidRPr="00E87C08">
        <w:rPr>
          <w:b/>
        </w:rPr>
        <w:t xml:space="preserve"> bağımsız denetim raporuyla birlikte finansal raporlara (Finansal tablolar, sorumluluk beyanları, </w:t>
      </w:r>
      <w:r>
        <w:rPr>
          <w:b/>
        </w:rPr>
        <w:t>portföy dağılım raporları</w:t>
      </w:r>
      <w:r w:rsidRPr="00E87C08">
        <w:rPr>
          <w:b/>
        </w:rPr>
        <w:t xml:space="preserve">)  fon giderlerine ilişkin bilgilere, </w:t>
      </w:r>
      <w:r>
        <w:rPr>
          <w:b/>
        </w:rPr>
        <w:t xml:space="preserve">fonun risk değerine, </w:t>
      </w:r>
      <w:r w:rsidRPr="00E87C08">
        <w:rPr>
          <w:b/>
        </w:rPr>
        <w:t>uygulanan komisyonlara, varsa performans ücretlendirmesine ilişkin bilgilere ve fon tarafından açıklanması gereken diğer bilgilere fonun KAP’ta yer alan sürekli bilgilendirme formundan (</w:t>
      </w:r>
      <w:hyperlink r:id="rId10" w:history="1">
        <w:r w:rsidR="006F7ABD" w:rsidRPr="00AC31DF">
          <w:rPr>
            <w:rStyle w:val="Kpr"/>
            <w:b/>
          </w:rPr>
          <w:t>www.kap.</w:t>
        </w:r>
        <w:r w:rsidR="006F7ABD" w:rsidRPr="00C30CBB">
          <w:rPr>
            <w:rStyle w:val="Kpr"/>
            <w:b/>
          </w:rPr>
          <w:t>org.tr</w:t>
        </w:r>
      </w:hyperlink>
      <w:r w:rsidRPr="00E87C08">
        <w:rPr>
          <w:b/>
        </w:rPr>
        <w:t>) ulaşılması mümkündür.</w:t>
      </w:r>
      <w:r w:rsidRPr="00EC42EC">
        <w:t xml:space="preserve"> </w:t>
      </w:r>
    </w:p>
    <w:p w14:paraId="08696072" w14:textId="77777777" w:rsidR="00746780" w:rsidRDefault="00746780" w:rsidP="00746780">
      <w:pPr>
        <w:tabs>
          <w:tab w:val="left" w:pos="1134"/>
        </w:tabs>
        <w:ind w:firstLine="708"/>
      </w:pPr>
    </w:p>
    <w:p w14:paraId="4DA59795" w14:textId="77777777" w:rsidR="00746780" w:rsidRDefault="00746780" w:rsidP="00746780">
      <w:pPr>
        <w:tabs>
          <w:tab w:val="left" w:pos="1134"/>
        </w:tabs>
        <w:ind w:firstLine="708"/>
      </w:pPr>
      <w:r>
        <w:t>Ayrıca, fonun geçmiş performansına, fonun portföy dağılımına, fonun risk değerine ve fondan tahsil edilen ve yatırımcılardan belirli şartlar altında tahsil edilecek ücret ve komisyon bilgilerine yatırımcı bilgi formundan da ulaşılması mümkündür.</w:t>
      </w:r>
    </w:p>
    <w:p w14:paraId="64B5195E" w14:textId="77777777" w:rsidR="00746780" w:rsidRPr="00EC42EC" w:rsidRDefault="00746780" w:rsidP="00746780">
      <w:pPr>
        <w:tabs>
          <w:tab w:val="left" w:pos="1134"/>
        </w:tabs>
        <w:ind w:firstLine="708"/>
      </w:pPr>
    </w:p>
    <w:p w14:paraId="129B0B6F" w14:textId="77777777" w:rsidR="00746780" w:rsidRPr="00EC42EC" w:rsidRDefault="00746780" w:rsidP="00746780">
      <w:pPr>
        <w:tabs>
          <w:tab w:val="left" w:pos="1134"/>
        </w:tabs>
        <w:ind w:firstLine="708"/>
      </w:pPr>
      <w:r w:rsidRPr="00EC42EC">
        <w:rPr>
          <w:b/>
        </w:rPr>
        <w:t>9.5.</w:t>
      </w:r>
      <w:r w:rsidRPr="004D695C">
        <w:t xml:space="preserve"> </w:t>
      </w:r>
      <w:r w:rsidRPr="00EC42EC">
        <w:t>Portföy dağılım raporları aylık olarak hazırlanır ve ilgili ayı takip eden altı iş günü içinde KAP’ta ilan edilir</w:t>
      </w:r>
      <w:r>
        <w:t>.</w:t>
      </w:r>
    </w:p>
    <w:p w14:paraId="101FAA8C" w14:textId="77777777" w:rsidR="00E04DF3" w:rsidRDefault="00E04DF3" w:rsidP="00DE6006">
      <w:pPr>
        <w:tabs>
          <w:tab w:val="left" w:pos="1134"/>
        </w:tabs>
        <w:spacing w:line="240" w:lineRule="atLeast"/>
        <w:ind w:firstLine="708"/>
        <w:rPr>
          <w:b/>
        </w:rPr>
      </w:pPr>
    </w:p>
    <w:p w14:paraId="19A4D31E" w14:textId="13612045" w:rsidR="00746780" w:rsidRPr="00DE6006" w:rsidRDefault="00746780" w:rsidP="00DE6006">
      <w:pPr>
        <w:tabs>
          <w:tab w:val="left" w:pos="1134"/>
        </w:tabs>
        <w:spacing w:line="240" w:lineRule="atLeast"/>
        <w:ind w:firstLine="708"/>
      </w:pPr>
      <w:r w:rsidRPr="00EC42EC">
        <w:rPr>
          <w:b/>
        </w:rPr>
        <w:t xml:space="preserve">9.6. </w:t>
      </w:r>
      <w:r w:rsidRPr="00EC42EC">
        <w:t>Finansal raporlar, bağımsız denetim raporuyla birlikte, bağımsız denetim kuruluşunu temsil ve ilzama yetkili kişinin imzasını taşıyan bir yazı ekinde kurucuya ulaşmasından sonra, kurucu tarafından finansal raporların kamuya açıklanmasına ilişkin yönetim kurulu kararına bağlandığı tarihi izleyen altıncı iş günü mesai saati bitimine kadar KAP’ta açıklanır.</w:t>
      </w:r>
      <w:r>
        <w:t xml:space="preserve"> </w:t>
      </w:r>
      <w:r w:rsidRPr="00DD55AE">
        <w:t xml:space="preserve">Finansal tablolar ayrıca söz konusu açıklamayı müteakip 10 iş günü içerisinde katılma payı sahiplerine en uygun haberleşme vasıtasıyla gönderilir. </w:t>
      </w:r>
      <w:r>
        <w:t xml:space="preserve"> </w:t>
      </w:r>
    </w:p>
    <w:p w14:paraId="6343EDFA" w14:textId="77777777" w:rsidR="00746780" w:rsidRPr="00EC42EC" w:rsidRDefault="00746780" w:rsidP="00746780">
      <w:pPr>
        <w:tabs>
          <w:tab w:val="left" w:pos="1134"/>
        </w:tabs>
        <w:spacing w:line="240" w:lineRule="atLeast"/>
        <w:ind w:firstLine="708"/>
        <w:rPr>
          <w:b/>
        </w:rPr>
      </w:pPr>
    </w:p>
    <w:p w14:paraId="400D85FC" w14:textId="77777777" w:rsidR="00746780" w:rsidRPr="00EC42EC" w:rsidRDefault="00746780" w:rsidP="00746780">
      <w:pPr>
        <w:tabs>
          <w:tab w:val="left" w:pos="1134"/>
        </w:tabs>
        <w:spacing w:line="240" w:lineRule="atLeast"/>
        <w:ind w:firstLine="708"/>
      </w:pPr>
      <w:r w:rsidRPr="00EC42EC">
        <w:rPr>
          <w:b/>
        </w:rPr>
        <w:t>9.7.</w:t>
      </w:r>
      <w:r w:rsidRPr="00EC42EC">
        <w:t xml:space="preserve"> Portföy raporları dışındaki finansal raporlar kamuya açıklandıktan sonra, Kurucu’nun resmi internet sitesinde yayımlanır. Bu bilgiler, ilgili internet sitesinde en az beş yıl süreyle </w:t>
      </w:r>
      <w:r w:rsidRPr="00EC42EC">
        <w:lastRenderedPageBreak/>
        <w:t>kamuya açık tutulur. Söz konusu finansal raporlar aynı zamanda kurucunun merkezinde ve katılma payı satışı yapılan yerlerde, yatırımcıların incelemesi için hazır bulundurulur.</w:t>
      </w:r>
    </w:p>
    <w:p w14:paraId="61D9D92E" w14:textId="77777777" w:rsidR="00746780" w:rsidRPr="00EC42EC" w:rsidRDefault="00746780" w:rsidP="00746780">
      <w:pPr>
        <w:tabs>
          <w:tab w:val="left" w:pos="1134"/>
        </w:tabs>
        <w:spacing w:line="240" w:lineRule="atLeast"/>
        <w:ind w:firstLine="708"/>
      </w:pPr>
    </w:p>
    <w:p w14:paraId="7D6DA23C" w14:textId="77777777" w:rsidR="00746780" w:rsidRPr="00EC42EC" w:rsidRDefault="00746780" w:rsidP="00746780">
      <w:pPr>
        <w:tabs>
          <w:tab w:val="left" w:pos="1134"/>
        </w:tabs>
        <w:ind w:firstLine="708"/>
      </w:pPr>
      <w:r w:rsidRPr="00EC42EC">
        <w:rPr>
          <w:b/>
        </w:rPr>
        <w:t xml:space="preserve">9.8. </w:t>
      </w:r>
      <w:r w:rsidRPr="00EC42EC">
        <w:t>Yatırımcıların yatırım yapma kararını etkileyebilecek ve önceden bilgi sahibi olunmasını gerektirecek nitelikte olan izahnamenin I.1.1., I.1.2.1., II, III., V.5.5., V.5.6., VI</w:t>
      </w:r>
      <w:r>
        <w:t>. (6.5. maddesi hariç)</w:t>
      </w:r>
      <w:r w:rsidRPr="00EC42EC">
        <w:t xml:space="preserve">, </w:t>
      </w:r>
      <w:r w:rsidRPr="00BC05A0">
        <w:t>VII.7.1</w:t>
      </w:r>
      <w:r>
        <w:t>.</w:t>
      </w:r>
      <w:r w:rsidRPr="00BC05A0">
        <w:rPr>
          <w:b/>
        </w:rPr>
        <w:t xml:space="preserve"> (</w:t>
      </w:r>
      <w:r w:rsidRPr="00BC05A0">
        <w:t xml:space="preserve">aracılık komisyonlarına ilişkin alt madde hariç) </w:t>
      </w:r>
      <w:r w:rsidRPr="00EC42EC">
        <w:t xml:space="preserve">nolu bölümlerindeki değişiklikler Kurul tarafından incelenerek onaylanır ve </w:t>
      </w:r>
      <w:r>
        <w:t xml:space="preserve">Kurucu tarafından </w:t>
      </w:r>
      <w:r w:rsidR="00EA18E5">
        <w:t>KAP’ta ve Kurucu’nun resmi internet sitesinde yayımlanır, ayrıca ticaret siciline tescil ve TTSG’de ilan edilmez</w:t>
      </w:r>
      <w:r w:rsidRPr="00EC42EC">
        <w:t xml:space="preserve">. İzahnamenin diğer bölümlerinde yapılacak değişikler ise, Kurulun onayı aranmaksızın kurucu tarafından yapılarak KAP’ta ve Kurucu’nun resmi internet sitesinde ilan edilir ve yapılan değişiklikler her takvim yılı sonunu izleyen altı iş günü içinde toplu olarak Kurula bildirilir. </w:t>
      </w:r>
    </w:p>
    <w:p w14:paraId="71F5C08B" w14:textId="77777777" w:rsidR="00746780" w:rsidRPr="00EC42EC" w:rsidRDefault="00746780" w:rsidP="00746780">
      <w:pPr>
        <w:tabs>
          <w:tab w:val="left" w:pos="1134"/>
        </w:tabs>
        <w:rPr>
          <w:b/>
        </w:rPr>
      </w:pPr>
    </w:p>
    <w:p w14:paraId="7BE8924C" w14:textId="77777777" w:rsidR="00746780" w:rsidRDefault="00746780" w:rsidP="00746780">
      <w:pPr>
        <w:tabs>
          <w:tab w:val="left" w:pos="1134"/>
        </w:tabs>
        <w:ind w:firstLine="708"/>
      </w:pPr>
      <w:r w:rsidRPr="00EC42EC">
        <w:rPr>
          <w:b/>
        </w:rPr>
        <w:t>9</w:t>
      </w:r>
      <w:r>
        <w:rPr>
          <w:b/>
        </w:rPr>
        <w:t>.9</w:t>
      </w:r>
      <w:r w:rsidRPr="00EC42EC">
        <w:rPr>
          <w:b/>
        </w:rPr>
        <w:t>.</w:t>
      </w:r>
      <w:r w:rsidRPr="00EC42EC">
        <w:t xml:space="preserve"> </w:t>
      </w:r>
      <w:r w:rsidRPr="00400E70">
        <w:t>Fona ilişkin olarak yapılacak tanıtım ve reklamlarda, Kurul düzenlemelerinde yer alan nitelikli yatırımcı tanımına ve satışın yalnızca gerekli koşulları sağlayan nitelikli yatırımcılara yapılacağı hususlarına yer verilmesi zorunludur.</w:t>
      </w:r>
    </w:p>
    <w:p w14:paraId="24416CEA" w14:textId="77777777" w:rsidR="00746780" w:rsidRDefault="00746780" w:rsidP="00746780">
      <w:pPr>
        <w:tabs>
          <w:tab w:val="left" w:pos="1134"/>
        </w:tabs>
        <w:ind w:firstLine="708"/>
      </w:pPr>
    </w:p>
    <w:p w14:paraId="7CFC17DC" w14:textId="77777777" w:rsidR="00746780" w:rsidRDefault="00746780" w:rsidP="00746780">
      <w:pPr>
        <w:tabs>
          <w:tab w:val="left" w:pos="1134"/>
        </w:tabs>
        <w:ind w:firstLine="708"/>
      </w:pPr>
      <w:r w:rsidRPr="00551B68">
        <w:rPr>
          <w:b/>
        </w:rPr>
        <w:t>9.1</w:t>
      </w:r>
      <w:r w:rsidR="00DE6006">
        <w:rPr>
          <w:b/>
        </w:rPr>
        <w:t>0</w:t>
      </w:r>
      <w:r w:rsidRPr="00403D83">
        <w:t xml:space="preserve"> </w:t>
      </w:r>
      <w:r>
        <w:t>Portföye yapılandırılmış yatırım aracı dahil edilmesi halinde söz konusu yatırım aracının genel özelliklerine ilişkin bilgiler ve içerdiği muhtemel riskler ayrıca KAP’ta açıklanır.</w:t>
      </w:r>
    </w:p>
    <w:p w14:paraId="6E2C3E5E" w14:textId="77777777" w:rsidR="00746780" w:rsidRDefault="00746780" w:rsidP="00746780">
      <w:pPr>
        <w:tabs>
          <w:tab w:val="left" w:pos="1134"/>
        </w:tabs>
        <w:ind w:firstLine="708"/>
      </w:pPr>
    </w:p>
    <w:p w14:paraId="32618845" w14:textId="7AB126B3" w:rsidR="00746780" w:rsidRDefault="00746780" w:rsidP="00746780">
      <w:pPr>
        <w:tabs>
          <w:tab w:val="left" w:pos="1134"/>
        </w:tabs>
        <w:ind w:firstLine="708"/>
      </w:pPr>
      <w:r>
        <w:rPr>
          <w:b/>
        </w:rPr>
        <w:t>9.1</w:t>
      </w:r>
      <w:r w:rsidR="00DE6006">
        <w:rPr>
          <w:b/>
        </w:rPr>
        <w:t>1</w:t>
      </w:r>
      <w:r w:rsidRPr="00375DC6">
        <w:rPr>
          <w:b/>
        </w:rPr>
        <w:t>.</w:t>
      </w:r>
      <w:r>
        <w:rPr>
          <w:b/>
        </w:rPr>
        <w:t xml:space="preserve"> </w:t>
      </w:r>
      <w:r>
        <w:t>Borsa dışı repo-ters repo işlemlerinin fon portföyüne dahil edilmesi halinde en geç sözleşme tarihini takip eden iş günü içinde sözleşmenin vadesi, faiz oranı, karşı tarafı ve karşı tarafın derecelendirme notu KAP’ta açıklanır.</w:t>
      </w:r>
    </w:p>
    <w:p w14:paraId="79268880" w14:textId="4D611D39" w:rsidR="00C15E98" w:rsidRDefault="00C15E98" w:rsidP="00746780">
      <w:pPr>
        <w:tabs>
          <w:tab w:val="left" w:pos="1134"/>
        </w:tabs>
        <w:ind w:firstLine="708"/>
      </w:pPr>
    </w:p>
    <w:p w14:paraId="3C1475BD" w14:textId="115F35C4" w:rsidR="00C15E98" w:rsidRDefault="00C15E98" w:rsidP="00C15E98">
      <w:pPr>
        <w:tabs>
          <w:tab w:val="left" w:pos="1134"/>
        </w:tabs>
        <w:ind w:firstLine="708"/>
        <w:rPr>
          <w:b/>
          <w:bCs/>
        </w:rPr>
      </w:pPr>
      <w:bookmarkStart w:id="34" w:name="_Hlk107504875"/>
      <w:r>
        <w:rPr>
          <w:b/>
          <w:bCs/>
        </w:rPr>
        <w:t xml:space="preserve">9.12. </w:t>
      </w:r>
      <w:r>
        <w:t>Fon portföyüne uygulanan kaldıraç seviyesine ve belirlenen risk limitlerine uyuma ilişin bilgi, aylık dönemler itibarıyla katılma payı sahiplerine en uygun haberleşme vasıtasıyla bildirilir</w:t>
      </w:r>
    </w:p>
    <w:bookmarkEnd w:id="34"/>
    <w:p w14:paraId="3ED0E1CF" w14:textId="77777777" w:rsidR="006952E1" w:rsidRDefault="006952E1" w:rsidP="00746780">
      <w:pPr>
        <w:tabs>
          <w:tab w:val="left" w:pos="1134"/>
        </w:tabs>
        <w:ind w:firstLine="708"/>
        <w:rPr>
          <w:b/>
        </w:rPr>
      </w:pPr>
    </w:p>
    <w:p w14:paraId="0B4D78A4" w14:textId="77C43FCF" w:rsidR="00746780" w:rsidRPr="00EC42EC" w:rsidRDefault="00746780" w:rsidP="00746780">
      <w:pPr>
        <w:tabs>
          <w:tab w:val="left" w:pos="1134"/>
        </w:tabs>
        <w:ind w:firstLine="708"/>
        <w:rPr>
          <w:b/>
        </w:rPr>
      </w:pPr>
      <w:r>
        <w:rPr>
          <w:b/>
        </w:rPr>
        <w:t>X</w:t>
      </w:r>
      <w:r w:rsidRPr="00EC42EC">
        <w:rPr>
          <w:b/>
        </w:rPr>
        <w:t>. FON'UN SONA ERMESİ VE FON VARLIĞININ TASFİYESİ</w:t>
      </w:r>
    </w:p>
    <w:p w14:paraId="3619F070" w14:textId="77777777" w:rsidR="00746780" w:rsidRPr="00EC42EC" w:rsidRDefault="00746780" w:rsidP="00746780">
      <w:pPr>
        <w:tabs>
          <w:tab w:val="left" w:pos="1134"/>
        </w:tabs>
        <w:spacing w:before="32"/>
        <w:ind w:firstLine="708"/>
        <w:rPr>
          <w:b/>
          <w:spacing w:val="1"/>
        </w:rPr>
      </w:pPr>
    </w:p>
    <w:p w14:paraId="1C29CFC2" w14:textId="77777777" w:rsidR="00746780" w:rsidRDefault="00746780" w:rsidP="00746780">
      <w:pPr>
        <w:ind w:firstLine="567"/>
      </w:pPr>
      <w:r w:rsidRPr="00EC42EC">
        <w:rPr>
          <w:b/>
          <w:spacing w:val="1"/>
        </w:rPr>
        <w:t>10</w:t>
      </w:r>
      <w:r w:rsidRPr="00EC42EC">
        <w:rPr>
          <w:b/>
        </w:rPr>
        <w:t xml:space="preserve">.1. </w:t>
      </w:r>
      <w:r>
        <w:t>Fon;</w:t>
      </w:r>
    </w:p>
    <w:p w14:paraId="0B13FB81" w14:textId="77777777" w:rsidR="00746780" w:rsidRPr="0074243A" w:rsidRDefault="00746780" w:rsidP="00746780">
      <w:pPr>
        <w:ind w:firstLine="567"/>
      </w:pPr>
      <w:r w:rsidRPr="00EC42EC">
        <w:t xml:space="preserve"> </w:t>
      </w:r>
      <w:r>
        <w:t>-</w:t>
      </w:r>
      <w:r w:rsidRPr="0074243A">
        <w:t xml:space="preserve"> Bilgilendirme dokümanlarında bir süre öngörülmüş ise bu sürenin sona ermesi,</w:t>
      </w:r>
    </w:p>
    <w:p w14:paraId="18A435EB" w14:textId="77777777" w:rsidR="00746780" w:rsidRPr="0074243A" w:rsidRDefault="00746780" w:rsidP="00746780">
      <w:pPr>
        <w:ind w:firstLine="567"/>
      </w:pPr>
      <w:r w:rsidRPr="0074243A">
        <w:t xml:space="preserve"> - Fon süresiz ise kurucunun Kurulun uygun görüşünü aldıktan sonra altı ay sonrası için feshi ihbar etmesi,</w:t>
      </w:r>
    </w:p>
    <w:p w14:paraId="6EB538BB" w14:textId="77777777" w:rsidR="00746780" w:rsidRPr="0074243A" w:rsidRDefault="00746780" w:rsidP="00746780">
      <w:pPr>
        <w:ind w:firstLine="567"/>
      </w:pPr>
      <w:r w:rsidRPr="0074243A">
        <w:t xml:space="preserve"> - Kurucunun faaliyet şartlarını kaybetmesi,</w:t>
      </w:r>
    </w:p>
    <w:p w14:paraId="394E5F43" w14:textId="2E63C915" w:rsidR="00746780" w:rsidRPr="0074243A" w:rsidRDefault="00746780" w:rsidP="00746780">
      <w:pPr>
        <w:ind w:firstLine="567"/>
      </w:pPr>
      <w:r w:rsidRPr="0074243A">
        <w:t xml:space="preserve"> -</w:t>
      </w:r>
      <w:r w:rsidR="00E04DF3">
        <w:t xml:space="preserve"> </w:t>
      </w:r>
      <w:r w:rsidRPr="0074243A">
        <w:t>Kurucunun mali durumunun taahhütlerini karşılayamayacak kadar zayıflaması, iflas etmesi veya tasfiye edilmesi,</w:t>
      </w:r>
    </w:p>
    <w:p w14:paraId="0EA9549A" w14:textId="77777777" w:rsidR="00746780" w:rsidRPr="0074243A" w:rsidRDefault="00746780" w:rsidP="00746780">
      <w:pPr>
        <w:ind w:firstLine="567"/>
      </w:pPr>
      <w:r w:rsidRPr="0074243A">
        <w:t xml:space="preserve"> - Fonun kendi mali yükümlülüklerini karşılayamaz durumda olması ve benzer nedenlerle fonun devamının yatırımcıların yararına olmayacağını</w:t>
      </w:r>
      <w:r>
        <w:t>n Kurulca tespit edilmiş olması</w:t>
      </w:r>
    </w:p>
    <w:p w14:paraId="111F4175" w14:textId="77777777" w:rsidR="00746780" w:rsidRDefault="00746780" w:rsidP="00746780">
      <w:pPr>
        <w:tabs>
          <w:tab w:val="left" w:pos="1134"/>
        </w:tabs>
        <w:ind w:firstLine="708"/>
      </w:pPr>
      <w:r>
        <w:t xml:space="preserve">hallerinde </w:t>
      </w:r>
      <w:r w:rsidRPr="00EC42EC">
        <w:t xml:space="preserve">sona erer. </w:t>
      </w:r>
    </w:p>
    <w:p w14:paraId="771EF11B" w14:textId="77777777" w:rsidR="00746780" w:rsidRPr="00EC42EC" w:rsidRDefault="00746780" w:rsidP="00746780">
      <w:pPr>
        <w:tabs>
          <w:tab w:val="left" w:pos="1134"/>
        </w:tabs>
        <w:ind w:firstLine="708"/>
      </w:pPr>
      <w:r w:rsidRPr="00EC42EC">
        <w:t xml:space="preserve">Fonun sona ermesi halinde fon portföyünde yer alan varlıklardan borsada işlem görenler borsada, borsada işlem görmeyenler ise borsa dışında nakde dönüştürülür. </w:t>
      </w:r>
    </w:p>
    <w:p w14:paraId="79147D36" w14:textId="77777777" w:rsidR="00746780" w:rsidRPr="00EC42EC" w:rsidRDefault="00746780" w:rsidP="00746780">
      <w:pPr>
        <w:tabs>
          <w:tab w:val="left" w:pos="1134"/>
        </w:tabs>
        <w:spacing w:before="2"/>
        <w:ind w:firstLine="708"/>
      </w:pPr>
    </w:p>
    <w:p w14:paraId="221469BE" w14:textId="77777777" w:rsidR="00746780" w:rsidRPr="00EC42EC" w:rsidRDefault="00746780" w:rsidP="00746780">
      <w:pPr>
        <w:tabs>
          <w:tab w:val="left" w:pos="1134"/>
        </w:tabs>
        <w:ind w:firstLine="708"/>
        <w:rPr>
          <w:spacing w:val="1"/>
        </w:rPr>
      </w:pPr>
      <w:r w:rsidRPr="00EC42EC">
        <w:rPr>
          <w:b/>
          <w:spacing w:val="1"/>
        </w:rPr>
        <w:t xml:space="preserve">10.2. </w:t>
      </w:r>
      <w:r w:rsidRPr="00EC42EC">
        <w:rPr>
          <w:spacing w:val="1"/>
        </w:rPr>
        <w:t xml:space="preserve">Fon mal varlığı, içtüzük ve izahnamede yer alan ilkelere göre tasfiye edilir ve tasfiye bakiyesi katılma payı sahiplerine payları oranında dağıtılır. Tasfiye durumunda yalnızca katılma payı sahiplerine ödeme yapılabilir. </w:t>
      </w:r>
    </w:p>
    <w:p w14:paraId="4502354E" w14:textId="77777777" w:rsidR="00746780" w:rsidRPr="00EC42EC" w:rsidRDefault="00746780" w:rsidP="00746780">
      <w:pPr>
        <w:tabs>
          <w:tab w:val="left" w:pos="1134"/>
        </w:tabs>
        <w:ind w:firstLine="708"/>
        <w:rPr>
          <w:b/>
          <w:spacing w:val="1"/>
        </w:rPr>
      </w:pPr>
    </w:p>
    <w:p w14:paraId="00C3BB25" w14:textId="77777777" w:rsidR="00746780" w:rsidRPr="00EC42EC" w:rsidRDefault="00746780" w:rsidP="00746780">
      <w:pPr>
        <w:tabs>
          <w:tab w:val="left" w:pos="1134"/>
        </w:tabs>
        <w:ind w:firstLine="708"/>
      </w:pPr>
      <w:r w:rsidRPr="00EC42EC">
        <w:rPr>
          <w:b/>
          <w:spacing w:val="1"/>
        </w:rPr>
        <w:lastRenderedPageBreak/>
        <w:t xml:space="preserve">10.3. </w:t>
      </w:r>
      <w:r w:rsidRPr="00EC42EC">
        <w:t xml:space="preserve">Tasfiye işlemlerine ilişkin olarak, Kurucu’nun Kurul’un uygun görüşünü aldıktan sonra 6 ay sonrası için fesih ihbar etmesi durumunda söz konusu süre sonunda hala Fon’a iade edilmemiş katılma paylarının bulunması halinde, katılma payı sahiplerinin satış talimatı beklenmeden pay satışları yapılarak elde edilen tutarlar Kurucu ve katılma payı alım satımı yapan kuruluş nezdinde açılacak hesaplarda yatırımcılar adına ters repoda veya Kurul tarafından uygun görülen diğer sermaye piyasası araçlarında nemalandırılır. </w:t>
      </w:r>
      <w:r w:rsidRPr="00EC42EC">
        <w:rPr>
          <w:spacing w:val="1"/>
        </w:rPr>
        <w:t>Fesih ihbarından sonra yeni katılma payı ihraç edilemez. Tasfiye anından itibaren hiçbir katılma payı ihraç edilemez ve geri alınamaz.</w:t>
      </w:r>
    </w:p>
    <w:p w14:paraId="6FEF2AB1" w14:textId="77777777" w:rsidR="00746780" w:rsidRPr="00EC42EC" w:rsidRDefault="00746780" w:rsidP="00746780">
      <w:pPr>
        <w:tabs>
          <w:tab w:val="left" w:pos="1134"/>
        </w:tabs>
        <w:ind w:firstLine="708"/>
      </w:pPr>
    </w:p>
    <w:p w14:paraId="4545C79B" w14:textId="77777777" w:rsidR="00746780" w:rsidRPr="00EC42EC" w:rsidRDefault="00746780" w:rsidP="00746780">
      <w:pPr>
        <w:tabs>
          <w:tab w:val="left" w:pos="1134"/>
        </w:tabs>
        <w:ind w:firstLine="708"/>
      </w:pPr>
      <w:r w:rsidRPr="00EC42EC">
        <w:rPr>
          <w:b/>
          <w:spacing w:val="1"/>
        </w:rPr>
        <w:t xml:space="preserve">10.4. </w:t>
      </w:r>
      <w:r w:rsidRPr="00EC42EC">
        <w:t>Kurucunun iflası veya tasfiyesi halinde Kurul, fonu uygun göreceği başka bir portföy yönetim şirketine tasfiye amacıyla devreder. Portföy Saklayıcısının mali durumunun taahhütlerini karşılayamayacak kadar zayıflaması, iflası veya tasfiyesi halinde ise, kurucu fon varlığını Kurul tarafından uygun görülecek başka bir portföy saklayıcısına devreder.</w:t>
      </w:r>
    </w:p>
    <w:p w14:paraId="21075BB4" w14:textId="77777777" w:rsidR="00746780" w:rsidRPr="00EC42EC" w:rsidRDefault="00746780" w:rsidP="00746780">
      <w:pPr>
        <w:tabs>
          <w:tab w:val="left" w:pos="1134"/>
        </w:tabs>
        <w:ind w:firstLine="708"/>
      </w:pPr>
    </w:p>
    <w:p w14:paraId="3255CC6D" w14:textId="77777777" w:rsidR="00746780" w:rsidRPr="00EC42EC" w:rsidRDefault="00746780" w:rsidP="00746780">
      <w:pPr>
        <w:tabs>
          <w:tab w:val="left" w:pos="1134"/>
        </w:tabs>
        <w:ind w:firstLine="708"/>
      </w:pPr>
      <w:r w:rsidRPr="00EC42EC">
        <w:rPr>
          <w:b/>
        </w:rPr>
        <w:t xml:space="preserve">10.5. </w:t>
      </w:r>
      <w:r w:rsidRPr="00EC42EC">
        <w:t>Tasfiyenin sona ermesi üzerine, Fon adının Ticaret Sicili'nden silinmesi için keyfiyet, kurucu tarafından Ticaret Sicili'ne tescil ve ilan ettirilir, bu durum Kurul’a bildirilir.</w:t>
      </w:r>
    </w:p>
    <w:p w14:paraId="5A435E04" w14:textId="77777777" w:rsidR="00746780" w:rsidRPr="00EC42EC" w:rsidRDefault="00746780" w:rsidP="00746780">
      <w:pPr>
        <w:tabs>
          <w:tab w:val="left" w:pos="1134"/>
        </w:tabs>
        <w:ind w:firstLine="708"/>
      </w:pPr>
    </w:p>
    <w:p w14:paraId="657A93BF" w14:textId="77777777" w:rsidR="00746780" w:rsidRPr="00EC42EC" w:rsidRDefault="00746780" w:rsidP="00746780">
      <w:pPr>
        <w:tabs>
          <w:tab w:val="left" w:pos="1134"/>
        </w:tabs>
        <w:ind w:firstLine="708"/>
        <w:rPr>
          <w:b/>
        </w:rPr>
      </w:pPr>
      <w:r>
        <w:rPr>
          <w:b/>
        </w:rPr>
        <w:t>XI</w:t>
      </w:r>
      <w:r w:rsidRPr="00EC42EC">
        <w:rPr>
          <w:b/>
        </w:rPr>
        <w:t>.  KATILMA PAYI SAHİPLERİNİN HAKLARI</w:t>
      </w:r>
    </w:p>
    <w:p w14:paraId="2A82ED7D" w14:textId="77777777" w:rsidR="00746780" w:rsidRPr="00EC42EC" w:rsidRDefault="00746780" w:rsidP="00746780">
      <w:pPr>
        <w:tabs>
          <w:tab w:val="left" w:pos="1134"/>
        </w:tabs>
        <w:ind w:firstLine="708"/>
      </w:pPr>
    </w:p>
    <w:p w14:paraId="7BDDABD9" w14:textId="77777777" w:rsidR="00746780" w:rsidRPr="00EC42EC" w:rsidRDefault="00DE6006" w:rsidP="00746780">
      <w:pPr>
        <w:tabs>
          <w:tab w:val="left" w:pos="1134"/>
        </w:tabs>
        <w:ind w:firstLine="708"/>
      </w:pPr>
      <w:r w:rsidRPr="00EC42EC">
        <w:rPr>
          <w:b/>
        </w:rPr>
        <w:t>11.</w:t>
      </w:r>
      <w:r>
        <w:rPr>
          <w:b/>
        </w:rPr>
        <w:t xml:space="preserve">1. </w:t>
      </w:r>
      <w:r w:rsidRPr="00EC42EC">
        <w:t>Kurucu</w:t>
      </w:r>
      <w:r w:rsidR="00746780" w:rsidRPr="00EC42EC">
        <w:t xml:space="preserve"> ile katılma payı sahipleri arasındaki ilişkilerde Kanun, ilgili mevzuat ve içtüzük; bunlarda hüküm bulunmayan hâllerde 11/1/2011 tarihli ve 6098 sayılı Türk Borçlar Kanununun 502 ilâ 514 üncü maddeleri hükümleri kıyasen uygulanır.</w:t>
      </w:r>
    </w:p>
    <w:p w14:paraId="0216A310" w14:textId="77777777" w:rsidR="00746780" w:rsidRPr="00EC42EC" w:rsidRDefault="00746780" w:rsidP="00DE6006">
      <w:pPr>
        <w:tabs>
          <w:tab w:val="left" w:pos="1134"/>
        </w:tabs>
        <w:ind w:firstLine="708"/>
      </w:pPr>
      <w:r w:rsidRPr="00EC42EC">
        <w:t xml:space="preserve"> </w:t>
      </w:r>
    </w:p>
    <w:p w14:paraId="397A60C6" w14:textId="6092390F" w:rsidR="00746780" w:rsidRDefault="00746780" w:rsidP="00746780">
      <w:pPr>
        <w:tabs>
          <w:tab w:val="left" w:pos="1134"/>
        </w:tabs>
        <w:ind w:firstLine="708"/>
      </w:pPr>
      <w:r w:rsidRPr="00EC42EC">
        <w:rPr>
          <w:b/>
        </w:rPr>
        <w:t>11.</w:t>
      </w:r>
      <w:r w:rsidR="00F21475">
        <w:rPr>
          <w:b/>
        </w:rPr>
        <w:t>2</w:t>
      </w:r>
      <w:r w:rsidRPr="00EC42EC">
        <w:rPr>
          <w:b/>
        </w:rPr>
        <w:t>.</w:t>
      </w:r>
      <w:r w:rsidRPr="00EC42EC">
        <w:t xml:space="preserve"> </w:t>
      </w:r>
      <w:r w:rsidR="00736ED1" w:rsidRPr="00736ED1">
        <w:t xml:space="preserve">Fon’da oluşan kar, Fon’un bilgilendirme dokümanlarında belirtilen esaslara göre tespit edilen katılma payının birim pay değerine yansır. Katılma payı sahipleri, paylarını Fon’a geri sattıklarında, ellerinde tuttukları süre için fonda oluşan kardan paylarını almış olurlar. Hesap dönemi sonunda ayrıca temettü dağıtımı söz konusu değildir. </w:t>
      </w:r>
    </w:p>
    <w:p w14:paraId="64A3F087" w14:textId="004F6375" w:rsidR="00B34EEF" w:rsidRDefault="00B34EEF" w:rsidP="00746780">
      <w:pPr>
        <w:tabs>
          <w:tab w:val="left" w:pos="1134"/>
        </w:tabs>
        <w:ind w:firstLine="708"/>
      </w:pPr>
    </w:p>
    <w:p w14:paraId="00A72F03" w14:textId="28C33FB7" w:rsidR="00B34EEF" w:rsidRDefault="00B34EEF" w:rsidP="00746780">
      <w:pPr>
        <w:tabs>
          <w:tab w:val="left" w:pos="1134"/>
        </w:tabs>
        <w:ind w:firstLine="708"/>
      </w:pPr>
    </w:p>
    <w:p w14:paraId="6570051D" w14:textId="15812073" w:rsidR="00B34EEF" w:rsidRDefault="00B34EEF" w:rsidP="00746780">
      <w:pPr>
        <w:tabs>
          <w:tab w:val="left" w:pos="1134"/>
        </w:tabs>
        <w:ind w:firstLine="708"/>
      </w:pPr>
    </w:p>
    <w:p w14:paraId="15C6995F" w14:textId="7EF690D3" w:rsidR="00B34EEF" w:rsidRDefault="00B34EEF" w:rsidP="00746780">
      <w:pPr>
        <w:tabs>
          <w:tab w:val="left" w:pos="1134"/>
        </w:tabs>
        <w:ind w:firstLine="708"/>
      </w:pPr>
    </w:p>
    <w:p w14:paraId="541EDB26" w14:textId="3ECA1B3E" w:rsidR="00B34EEF" w:rsidRDefault="00B34EEF" w:rsidP="00746780">
      <w:pPr>
        <w:tabs>
          <w:tab w:val="left" w:pos="1134"/>
        </w:tabs>
        <w:ind w:firstLine="708"/>
      </w:pPr>
    </w:p>
    <w:p w14:paraId="6A83FC94" w14:textId="647D988C" w:rsidR="00B34EEF" w:rsidRDefault="00B34EEF" w:rsidP="00746780">
      <w:pPr>
        <w:tabs>
          <w:tab w:val="left" w:pos="1134"/>
        </w:tabs>
        <w:ind w:firstLine="708"/>
      </w:pPr>
    </w:p>
    <w:p w14:paraId="41522A72" w14:textId="08332D5C" w:rsidR="00B34EEF" w:rsidRDefault="00B34EEF" w:rsidP="00746780">
      <w:pPr>
        <w:tabs>
          <w:tab w:val="left" w:pos="1134"/>
        </w:tabs>
        <w:ind w:firstLine="708"/>
      </w:pPr>
    </w:p>
    <w:p w14:paraId="2E5FE303" w14:textId="2F94B399" w:rsidR="00B34EEF" w:rsidRDefault="00B34EEF" w:rsidP="00746780">
      <w:pPr>
        <w:tabs>
          <w:tab w:val="left" w:pos="1134"/>
        </w:tabs>
        <w:ind w:firstLine="708"/>
      </w:pPr>
    </w:p>
    <w:p w14:paraId="76BAAF53" w14:textId="72E4EC93" w:rsidR="00B34EEF" w:rsidRDefault="00B34EEF" w:rsidP="00746780">
      <w:pPr>
        <w:tabs>
          <w:tab w:val="left" w:pos="1134"/>
        </w:tabs>
        <w:ind w:firstLine="708"/>
      </w:pPr>
    </w:p>
    <w:p w14:paraId="5354B31F" w14:textId="73687F81" w:rsidR="00B34EEF" w:rsidRDefault="00B34EEF" w:rsidP="00746780">
      <w:pPr>
        <w:tabs>
          <w:tab w:val="left" w:pos="1134"/>
        </w:tabs>
        <w:ind w:firstLine="708"/>
      </w:pPr>
    </w:p>
    <w:p w14:paraId="0AF07080" w14:textId="4518A30F" w:rsidR="00B34EEF" w:rsidRDefault="00B34EEF" w:rsidP="00746780">
      <w:pPr>
        <w:tabs>
          <w:tab w:val="left" w:pos="1134"/>
        </w:tabs>
        <w:ind w:firstLine="708"/>
      </w:pPr>
    </w:p>
    <w:p w14:paraId="5D345801" w14:textId="3C210B3C" w:rsidR="00B34EEF" w:rsidRDefault="00B34EEF" w:rsidP="00746780">
      <w:pPr>
        <w:tabs>
          <w:tab w:val="left" w:pos="1134"/>
        </w:tabs>
        <w:ind w:firstLine="708"/>
      </w:pPr>
    </w:p>
    <w:p w14:paraId="5AB8D3B6" w14:textId="7F9EE1ED" w:rsidR="00B34EEF" w:rsidRDefault="00B34EEF" w:rsidP="00746780">
      <w:pPr>
        <w:tabs>
          <w:tab w:val="left" w:pos="1134"/>
        </w:tabs>
        <w:ind w:firstLine="708"/>
      </w:pPr>
    </w:p>
    <w:p w14:paraId="0D4E481F" w14:textId="0F318D07" w:rsidR="00B34EEF" w:rsidRDefault="00B34EEF" w:rsidP="00746780">
      <w:pPr>
        <w:tabs>
          <w:tab w:val="left" w:pos="1134"/>
        </w:tabs>
        <w:ind w:firstLine="708"/>
      </w:pPr>
    </w:p>
    <w:p w14:paraId="7AFC0F1F" w14:textId="32DD0057" w:rsidR="00B34EEF" w:rsidRDefault="00B34EEF" w:rsidP="00746780">
      <w:pPr>
        <w:tabs>
          <w:tab w:val="left" w:pos="1134"/>
        </w:tabs>
        <w:ind w:firstLine="708"/>
      </w:pPr>
    </w:p>
    <w:p w14:paraId="6362C89E" w14:textId="5FB74C62" w:rsidR="00B34EEF" w:rsidRDefault="00B34EEF" w:rsidP="00746780">
      <w:pPr>
        <w:tabs>
          <w:tab w:val="left" w:pos="1134"/>
        </w:tabs>
        <w:ind w:firstLine="708"/>
      </w:pPr>
    </w:p>
    <w:p w14:paraId="15FA3687" w14:textId="3B0A943D" w:rsidR="00B34EEF" w:rsidRDefault="00B34EEF" w:rsidP="00746780">
      <w:pPr>
        <w:tabs>
          <w:tab w:val="left" w:pos="1134"/>
        </w:tabs>
        <w:ind w:firstLine="708"/>
      </w:pPr>
    </w:p>
    <w:p w14:paraId="1FE5AEAC" w14:textId="496AAD0A" w:rsidR="00B34EEF" w:rsidRDefault="00B34EEF" w:rsidP="00746780">
      <w:pPr>
        <w:tabs>
          <w:tab w:val="left" w:pos="1134"/>
        </w:tabs>
        <w:ind w:firstLine="708"/>
      </w:pPr>
    </w:p>
    <w:p w14:paraId="1C7D2716" w14:textId="77777777" w:rsidR="00B34EEF" w:rsidRDefault="00B34EEF" w:rsidP="00746780">
      <w:pPr>
        <w:tabs>
          <w:tab w:val="left" w:pos="1134"/>
        </w:tabs>
        <w:ind w:firstLine="708"/>
      </w:pPr>
    </w:p>
    <w:p w14:paraId="26DF5C1B" w14:textId="540E5997" w:rsidR="00746780" w:rsidRDefault="00746780" w:rsidP="00746780">
      <w:pPr>
        <w:tabs>
          <w:tab w:val="left" w:pos="1134"/>
        </w:tabs>
        <w:ind w:firstLine="708"/>
      </w:pPr>
    </w:p>
    <w:p w14:paraId="025001F5" w14:textId="77777777" w:rsidR="00746780" w:rsidRPr="00EC42EC" w:rsidRDefault="00746780" w:rsidP="00746780">
      <w:pPr>
        <w:tabs>
          <w:tab w:val="left" w:pos="1134"/>
        </w:tabs>
        <w:ind w:firstLine="708"/>
        <w:rPr>
          <w:b/>
        </w:rPr>
      </w:pPr>
      <w:r w:rsidRPr="00EC42EC">
        <w:rPr>
          <w:b/>
        </w:rPr>
        <w:lastRenderedPageBreak/>
        <w:t xml:space="preserve">XII. FON PORTFÖYÜNÜN OLUŞTURULMASI VE </w:t>
      </w:r>
      <w:r>
        <w:rPr>
          <w:b/>
        </w:rPr>
        <w:t>KATILMA PAYLARININ SATIŞI</w:t>
      </w:r>
    </w:p>
    <w:p w14:paraId="5267B2B9" w14:textId="77777777" w:rsidR="00746780" w:rsidRPr="00EC42EC" w:rsidRDefault="00746780" w:rsidP="00746780">
      <w:pPr>
        <w:tabs>
          <w:tab w:val="left" w:pos="1134"/>
        </w:tabs>
        <w:autoSpaceDE w:val="0"/>
        <w:autoSpaceDN w:val="0"/>
        <w:adjustRightInd w:val="0"/>
        <w:ind w:firstLine="708"/>
        <w:rPr>
          <w:b/>
        </w:rPr>
      </w:pPr>
    </w:p>
    <w:p w14:paraId="6F404F2E" w14:textId="77777777" w:rsidR="00DE6006" w:rsidRDefault="00746780" w:rsidP="00DE6006">
      <w:pPr>
        <w:pStyle w:val="3-NormalYaz"/>
        <w:tabs>
          <w:tab w:val="left" w:pos="1134"/>
        </w:tabs>
        <w:ind w:firstLine="708"/>
        <w:rPr>
          <w:rFonts w:eastAsia="Times New Roman"/>
          <w:sz w:val="24"/>
          <w:szCs w:val="24"/>
        </w:rPr>
      </w:pPr>
      <w:r w:rsidRPr="00EC42EC">
        <w:rPr>
          <w:rFonts w:eastAsia="Times New Roman"/>
          <w:b/>
          <w:sz w:val="24"/>
          <w:szCs w:val="24"/>
        </w:rPr>
        <w:t>12.1.</w:t>
      </w:r>
      <w:r>
        <w:rPr>
          <w:rFonts w:eastAsia="Times New Roman"/>
          <w:b/>
          <w:sz w:val="24"/>
          <w:szCs w:val="24"/>
        </w:rPr>
        <w:t xml:space="preserve"> </w:t>
      </w:r>
      <w:r>
        <w:rPr>
          <w:rFonts w:eastAsia="Times New Roman"/>
          <w:sz w:val="24"/>
          <w:szCs w:val="24"/>
        </w:rPr>
        <w:t>K</w:t>
      </w:r>
      <w:r w:rsidRPr="00EC42EC">
        <w:rPr>
          <w:rFonts w:eastAsia="Times New Roman"/>
          <w:sz w:val="24"/>
          <w:szCs w:val="24"/>
        </w:rPr>
        <w:t>atılma payları</w:t>
      </w:r>
      <w:r>
        <w:rPr>
          <w:rFonts w:eastAsia="Times New Roman"/>
          <w:sz w:val="24"/>
          <w:szCs w:val="24"/>
        </w:rPr>
        <w:t>,</w:t>
      </w:r>
      <w:r w:rsidRPr="00EC42EC">
        <w:rPr>
          <w:rFonts w:eastAsia="Times New Roman"/>
          <w:sz w:val="24"/>
          <w:szCs w:val="24"/>
        </w:rPr>
        <w:t xml:space="preserve"> </w:t>
      </w:r>
      <w:r>
        <w:rPr>
          <w:rFonts w:eastAsia="Times New Roman"/>
          <w:sz w:val="24"/>
          <w:szCs w:val="24"/>
        </w:rPr>
        <w:t>i</w:t>
      </w:r>
      <w:r w:rsidRPr="0079550F">
        <w:rPr>
          <w:rFonts w:eastAsia="Times New Roman"/>
          <w:sz w:val="24"/>
          <w:szCs w:val="24"/>
        </w:rPr>
        <w:t>zahnamenin</w:t>
      </w:r>
      <w:r>
        <w:rPr>
          <w:rFonts w:eastAsia="Times New Roman"/>
          <w:b/>
          <w:sz w:val="24"/>
          <w:szCs w:val="24"/>
        </w:rPr>
        <w:t xml:space="preserve"> </w:t>
      </w:r>
      <w:r w:rsidRPr="00EC42EC">
        <w:rPr>
          <w:rFonts w:eastAsia="Times New Roman"/>
          <w:sz w:val="24"/>
          <w:szCs w:val="24"/>
        </w:rPr>
        <w:t xml:space="preserve">KAP’ta yayımını takiben </w:t>
      </w:r>
      <w:r w:rsidRPr="005B0AB3">
        <w:rPr>
          <w:rFonts w:eastAsia="Times New Roman"/>
          <w:sz w:val="24"/>
          <w:szCs w:val="24"/>
        </w:rPr>
        <w:t>izahname</w:t>
      </w:r>
      <w:r>
        <w:rPr>
          <w:rFonts w:eastAsia="Times New Roman"/>
          <w:sz w:val="24"/>
          <w:szCs w:val="24"/>
        </w:rPr>
        <w:t xml:space="preserve"> ve yatırımcı bilgi formunda</w:t>
      </w:r>
      <w:r w:rsidRPr="005B0AB3">
        <w:rPr>
          <w:rFonts w:eastAsia="Times New Roman"/>
          <w:sz w:val="24"/>
          <w:szCs w:val="24"/>
        </w:rPr>
        <w:t xml:space="preserve"> belirtilen usul ve esaslar çerçevesinde nitelikli yatırımcılara sunulur</w:t>
      </w:r>
      <w:r w:rsidRPr="00EC42EC">
        <w:rPr>
          <w:rFonts w:eastAsia="Times New Roman"/>
          <w:sz w:val="24"/>
          <w:szCs w:val="24"/>
        </w:rPr>
        <w:t>.</w:t>
      </w:r>
    </w:p>
    <w:p w14:paraId="112A7EBE" w14:textId="77777777" w:rsidR="00DE6006" w:rsidRDefault="00DE6006" w:rsidP="00DE6006">
      <w:pPr>
        <w:pStyle w:val="3-NormalYaz"/>
        <w:tabs>
          <w:tab w:val="left" w:pos="1134"/>
        </w:tabs>
        <w:ind w:firstLine="708"/>
        <w:rPr>
          <w:rFonts w:eastAsia="Times New Roman"/>
          <w:sz w:val="24"/>
          <w:szCs w:val="24"/>
        </w:rPr>
      </w:pPr>
    </w:p>
    <w:p w14:paraId="264CE936" w14:textId="77777777" w:rsidR="00746780" w:rsidRDefault="00746780" w:rsidP="00DE6006">
      <w:pPr>
        <w:pStyle w:val="3-NormalYaz"/>
        <w:tabs>
          <w:tab w:val="left" w:pos="1134"/>
        </w:tabs>
        <w:ind w:firstLine="708"/>
        <w:rPr>
          <w:rFonts w:eastAsia="Times New Roman"/>
          <w:sz w:val="24"/>
          <w:szCs w:val="24"/>
        </w:rPr>
      </w:pPr>
      <w:r w:rsidRPr="00EC42EC">
        <w:rPr>
          <w:rFonts w:eastAsia="Times New Roman"/>
          <w:b/>
          <w:sz w:val="24"/>
          <w:szCs w:val="24"/>
        </w:rPr>
        <w:t>12.2.</w:t>
      </w:r>
      <w:r w:rsidRPr="00EC42EC">
        <w:rPr>
          <w:rFonts w:eastAsia="Times New Roman"/>
          <w:sz w:val="24"/>
          <w:szCs w:val="24"/>
        </w:rPr>
        <w:t xml:space="preserve"> Katılma payları karşılığı yatırımcılardan toplanan para, takip eden iş günü izahnamede belirlenen varlıklara ve işlemlere yatırılır.</w:t>
      </w:r>
    </w:p>
    <w:p w14:paraId="716E7D3A" w14:textId="6D987BCE" w:rsidR="00E04DF3" w:rsidRDefault="00E04DF3" w:rsidP="00FF6157"/>
    <w:p w14:paraId="42CA28F6" w14:textId="77777777" w:rsidR="00B34EEF" w:rsidRDefault="00B34EEF" w:rsidP="00FF6157"/>
    <w:p w14:paraId="508E75D0" w14:textId="77777777" w:rsidR="007E3119" w:rsidRDefault="007E3119" w:rsidP="00FF6157"/>
    <w:p w14:paraId="297BE275" w14:textId="4BFABFAF" w:rsidR="00746780" w:rsidRDefault="00746780" w:rsidP="00B34EEF">
      <w:pPr>
        <w:ind w:firstLine="708"/>
      </w:pPr>
      <w:r w:rsidRPr="00EC42EC">
        <w:t>İzahnamede yer alan bilgilerin doğruluğunu kanuni yetki ve sorumluluklarımız çerçevesinde onaylarız.</w:t>
      </w:r>
    </w:p>
    <w:p w14:paraId="10AB7CDF" w14:textId="77777777" w:rsidR="00746780" w:rsidRDefault="00746780" w:rsidP="00746780">
      <w:pPr>
        <w:ind w:firstLine="708"/>
      </w:pPr>
    </w:p>
    <w:p w14:paraId="5043EC7A" w14:textId="77777777" w:rsidR="00FF6157" w:rsidRDefault="00FF6157" w:rsidP="00FF6157">
      <w:pPr>
        <w:ind w:firstLine="708"/>
      </w:pPr>
    </w:p>
    <w:p w14:paraId="58D3E115" w14:textId="370CD5B2" w:rsidR="00FF6157" w:rsidRDefault="00535A6E" w:rsidP="00FF6157">
      <w:pPr>
        <w:ind w:firstLine="708"/>
        <w:jc w:val="center"/>
      </w:pPr>
      <w:r>
        <w:t>31</w:t>
      </w:r>
      <w:r w:rsidR="00FF6157">
        <w:t>/</w:t>
      </w:r>
      <w:r>
        <w:t>12</w:t>
      </w:r>
      <w:r w:rsidR="00FF6157">
        <w:t>/2022</w:t>
      </w:r>
    </w:p>
    <w:p w14:paraId="536EB786" w14:textId="77777777" w:rsidR="00FF6157" w:rsidRDefault="00FF6157" w:rsidP="00FF6157">
      <w:pPr>
        <w:ind w:firstLine="708"/>
      </w:pPr>
    </w:p>
    <w:p w14:paraId="598361CD" w14:textId="77777777" w:rsidR="00FF6157" w:rsidRDefault="00FF6157" w:rsidP="00FF6157">
      <w:pPr>
        <w:jc w:val="center"/>
      </w:pPr>
      <w:r>
        <w:t>ROTA PORTFÖY YÖNETİMİ A.Ş.</w:t>
      </w:r>
    </w:p>
    <w:p w14:paraId="056816CC" w14:textId="77777777" w:rsidR="00535A6E" w:rsidRPr="00EC42EC" w:rsidRDefault="00535A6E" w:rsidP="00535A6E">
      <w:bookmarkStart w:id="35" w:name="_Hlk123933461"/>
    </w:p>
    <w:p w14:paraId="053F332E" w14:textId="77777777" w:rsidR="00535A6E" w:rsidRDefault="00535A6E" w:rsidP="00535A6E">
      <w:bookmarkStart w:id="36" w:name="_Hlk123933060"/>
    </w:p>
    <w:p w14:paraId="649B1F7C" w14:textId="77777777" w:rsidR="00535A6E" w:rsidRDefault="00535A6E" w:rsidP="00535A6E"/>
    <w:p w14:paraId="2E13C598" w14:textId="77777777" w:rsidR="00535A6E" w:rsidRDefault="00535A6E" w:rsidP="00535A6E"/>
    <w:p w14:paraId="47902120" w14:textId="77777777" w:rsidR="00535A6E" w:rsidRDefault="00535A6E" w:rsidP="00535A6E"/>
    <w:p w14:paraId="7F539858" w14:textId="47C94632" w:rsidR="00535A6E" w:rsidRDefault="00895BA7" w:rsidP="00535A6E">
      <w:pPr>
        <w:jc w:val="center"/>
      </w:pPr>
      <w:r>
        <w:t>Kerem Aksoy</w:t>
      </w:r>
      <w:r w:rsidR="00535A6E">
        <w:tab/>
      </w:r>
      <w:r w:rsidR="00535A6E">
        <w:tab/>
      </w:r>
      <w:r w:rsidR="00535A6E">
        <w:tab/>
        <w:t>Tevfik Eraslan</w:t>
      </w:r>
    </w:p>
    <w:p w14:paraId="4508725C" w14:textId="41934A9E" w:rsidR="00535A6E" w:rsidRPr="00EC42EC" w:rsidRDefault="00895BA7" w:rsidP="00535A6E">
      <w:pPr>
        <w:jc w:val="center"/>
      </w:pPr>
      <w:r>
        <w:t xml:space="preserve">               Direktör</w:t>
      </w:r>
      <w:r w:rsidR="00535A6E">
        <w:tab/>
      </w:r>
      <w:r w:rsidR="00535A6E">
        <w:tab/>
      </w:r>
      <w:r>
        <w:t xml:space="preserve">      </w:t>
      </w:r>
      <w:r w:rsidR="00535A6E">
        <w:t>Yönetim Kurulu Başkanı</w:t>
      </w:r>
    </w:p>
    <w:bookmarkEnd w:id="35"/>
    <w:bookmarkEnd w:id="36"/>
    <w:p w14:paraId="78241652" w14:textId="77777777" w:rsidR="00FF6157" w:rsidRDefault="00FF6157" w:rsidP="00FF6157"/>
    <w:p w14:paraId="72551C92" w14:textId="77777777" w:rsidR="00746780" w:rsidRPr="00E560E3" w:rsidRDefault="00746780" w:rsidP="00746780"/>
    <w:p w14:paraId="1F8D78F7" w14:textId="77777777" w:rsidR="00746780" w:rsidRDefault="00746780" w:rsidP="00746780"/>
    <w:p w14:paraId="11666E9B" w14:textId="77777777" w:rsidR="00746780" w:rsidRPr="00E560E3" w:rsidRDefault="00746780" w:rsidP="00746780">
      <w:pPr>
        <w:tabs>
          <w:tab w:val="left" w:pos="1965"/>
        </w:tabs>
      </w:pPr>
    </w:p>
    <w:p w14:paraId="21ADDFBE" w14:textId="77777777" w:rsidR="00580D93" w:rsidRDefault="00580D93"/>
    <w:sectPr w:rsidR="00580D9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AD0A0" w14:textId="77777777" w:rsidR="00995B59" w:rsidRDefault="00995B59" w:rsidP="00746780">
      <w:r>
        <w:separator/>
      </w:r>
    </w:p>
  </w:endnote>
  <w:endnote w:type="continuationSeparator" w:id="0">
    <w:p w14:paraId="25A9B579" w14:textId="77777777" w:rsidR="00995B59" w:rsidRDefault="00995B59" w:rsidP="0074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988158"/>
      <w:docPartObj>
        <w:docPartGallery w:val="Page Numbers (Bottom of Page)"/>
        <w:docPartUnique/>
      </w:docPartObj>
    </w:sdtPr>
    <w:sdtEndPr>
      <w:rPr>
        <w:noProof/>
      </w:rPr>
    </w:sdtEndPr>
    <w:sdtContent>
      <w:p w14:paraId="304BC426" w14:textId="128624AA" w:rsidR="00F4044A" w:rsidRDefault="00F4044A">
        <w:pPr>
          <w:pStyle w:val="AltBilgi"/>
          <w:jc w:val="center"/>
        </w:pPr>
        <w:r w:rsidRPr="00335059">
          <w:rPr>
            <w:sz w:val="20"/>
            <w:szCs w:val="20"/>
          </w:rPr>
          <w:fldChar w:fldCharType="begin"/>
        </w:r>
        <w:r w:rsidRPr="00335059">
          <w:rPr>
            <w:sz w:val="20"/>
            <w:szCs w:val="20"/>
          </w:rPr>
          <w:instrText xml:space="preserve"> PAGE   \* MERGEFORMAT </w:instrText>
        </w:r>
        <w:r w:rsidRPr="00335059">
          <w:rPr>
            <w:sz w:val="20"/>
            <w:szCs w:val="20"/>
          </w:rPr>
          <w:fldChar w:fldCharType="separate"/>
        </w:r>
        <w:r w:rsidR="00AA3557">
          <w:rPr>
            <w:noProof/>
            <w:sz w:val="20"/>
            <w:szCs w:val="20"/>
          </w:rPr>
          <w:t>26</w:t>
        </w:r>
        <w:r w:rsidRPr="00335059">
          <w:rPr>
            <w:noProof/>
            <w:sz w:val="20"/>
            <w:szCs w:val="20"/>
          </w:rPr>
          <w:fldChar w:fldCharType="end"/>
        </w:r>
      </w:p>
    </w:sdtContent>
  </w:sdt>
  <w:p w14:paraId="65B0BCF2" w14:textId="77777777" w:rsidR="00F4044A" w:rsidRDefault="00F4044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1651B" w14:textId="77777777" w:rsidR="00995B59" w:rsidRDefault="00995B59" w:rsidP="00746780">
      <w:r>
        <w:separator/>
      </w:r>
    </w:p>
  </w:footnote>
  <w:footnote w:type="continuationSeparator" w:id="0">
    <w:p w14:paraId="583A7663" w14:textId="77777777" w:rsidR="00995B59" w:rsidRDefault="00995B59" w:rsidP="00746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10DC"/>
    <w:multiLevelType w:val="hybridMultilevel"/>
    <w:tmpl w:val="18C8333C"/>
    <w:lvl w:ilvl="0" w:tplc="0409000F">
      <w:start w:val="1"/>
      <w:numFmt w:val="decimal"/>
      <w:lvlText w:val="%1."/>
      <w:lvlJc w:val="left"/>
      <w:pPr>
        <w:tabs>
          <w:tab w:val="num" w:pos="2340"/>
        </w:tabs>
        <w:ind w:left="2340" w:hanging="360"/>
      </w:pPr>
    </w:lvl>
    <w:lvl w:ilvl="1" w:tplc="D256B38A">
      <w:start w:val="1"/>
      <w:numFmt w:val="lowerLetter"/>
      <w:lvlText w:val="%2."/>
      <w:lvlJc w:val="left"/>
      <w:pPr>
        <w:tabs>
          <w:tab w:val="num" w:pos="3060"/>
        </w:tabs>
        <w:ind w:left="3060" w:hanging="360"/>
      </w:pPr>
      <w:rPr>
        <w:rFonts w:ascii="Times New Roman" w:eastAsia="Times New Roman" w:hAnsi="Times New Roman" w:cs="Times New Roman"/>
        <w:b/>
      </w:rPr>
    </w:lvl>
    <w:lvl w:ilvl="2" w:tplc="041F0001">
      <w:start w:val="1"/>
      <w:numFmt w:val="bullet"/>
      <w:lvlText w:val=""/>
      <w:lvlJc w:val="left"/>
      <w:pPr>
        <w:tabs>
          <w:tab w:val="num" w:pos="3960"/>
        </w:tabs>
        <w:ind w:left="3960" w:hanging="360"/>
      </w:pPr>
      <w:rPr>
        <w:rFonts w:ascii="Symbol" w:hAnsi="Symbol" w:hint="default"/>
      </w:rPr>
    </w:lvl>
    <w:lvl w:ilvl="3" w:tplc="387A279A">
      <w:start w:val="1"/>
      <w:numFmt w:val="lowerLetter"/>
      <w:lvlText w:val="%4."/>
      <w:lvlJc w:val="left"/>
      <w:pPr>
        <w:tabs>
          <w:tab w:val="num" w:pos="4500"/>
        </w:tabs>
        <w:ind w:left="4500" w:hanging="360"/>
      </w:pPr>
      <w:rPr>
        <w:rFonts w:hint="default"/>
      </w:rPr>
    </w:lvl>
    <w:lvl w:ilvl="4" w:tplc="A02AF842">
      <w:numFmt w:val="bullet"/>
      <w:lvlText w:val="-"/>
      <w:lvlJc w:val="left"/>
      <w:pPr>
        <w:tabs>
          <w:tab w:val="num" w:pos="5220"/>
        </w:tabs>
        <w:ind w:left="5220" w:hanging="360"/>
      </w:pPr>
      <w:rPr>
        <w:rFonts w:ascii="Times New Roman" w:eastAsia="Times New Roman" w:hAnsi="Times New Roman" w:cs="Times New Roman" w:hint="default"/>
      </w:r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 w15:restartNumberingAfterBreak="0">
    <w:nsid w:val="008179C7"/>
    <w:multiLevelType w:val="multilevel"/>
    <w:tmpl w:val="8A988CAE"/>
    <w:lvl w:ilvl="0">
      <w:start w:val="12"/>
      <w:numFmt w:val="decimal"/>
      <w:lvlText w:val="%1"/>
      <w:lvlJc w:val="left"/>
      <w:pPr>
        <w:tabs>
          <w:tab w:val="num" w:pos="375"/>
        </w:tabs>
        <w:ind w:left="375" w:hanging="375"/>
      </w:pPr>
      <w:rPr>
        <w:rFonts w:hint="default"/>
        <w:b/>
      </w:rPr>
    </w:lvl>
    <w:lvl w:ilvl="1">
      <w:start w:val="1"/>
      <w:numFmt w:val="decimal"/>
      <w:lvlText w:val="13.%2."/>
      <w:lvlJc w:val="left"/>
      <w:pPr>
        <w:tabs>
          <w:tab w:val="num" w:pos="567"/>
        </w:tabs>
        <w:ind w:left="567" w:hanging="567"/>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4820CB8"/>
    <w:multiLevelType w:val="hybridMultilevel"/>
    <w:tmpl w:val="1EE8331C"/>
    <w:lvl w:ilvl="0" w:tplc="292AA93E">
      <w:start w:val="5"/>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04C771DA"/>
    <w:multiLevelType w:val="hybridMultilevel"/>
    <w:tmpl w:val="92AA081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05247369"/>
    <w:multiLevelType w:val="multilevel"/>
    <w:tmpl w:val="0C929800"/>
    <w:lvl w:ilvl="0">
      <w:start w:val="1"/>
      <w:numFmt w:val="decimal"/>
      <w:lvlText w:val="%1."/>
      <w:lvlJc w:val="left"/>
      <w:pPr>
        <w:ind w:left="420" w:hanging="420"/>
      </w:pPr>
      <w:rPr>
        <w:rFonts w:hint="default"/>
        <w:b/>
      </w:rPr>
    </w:lvl>
    <w:lvl w:ilvl="1">
      <w:start w:val="1"/>
      <w:numFmt w:val="decimal"/>
      <w:lvlText w:val="%1.%2."/>
      <w:lvlJc w:val="left"/>
      <w:pPr>
        <w:ind w:left="420" w:hanging="420"/>
      </w:pPr>
      <w:rPr>
        <w:rFonts w:ascii="Times New Roman" w:hAnsi="Times New Roman" w:cs="Times New Roman"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94C624D"/>
    <w:multiLevelType w:val="hybridMultilevel"/>
    <w:tmpl w:val="ECB2F83E"/>
    <w:lvl w:ilvl="0" w:tplc="493E3300">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0A9B07B0"/>
    <w:multiLevelType w:val="hybridMultilevel"/>
    <w:tmpl w:val="82881674"/>
    <w:lvl w:ilvl="0" w:tplc="56800516">
      <w:start w:val="1"/>
      <w:numFmt w:val="low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110B17C5"/>
    <w:multiLevelType w:val="multilevel"/>
    <w:tmpl w:val="937A18D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24053C4"/>
    <w:multiLevelType w:val="multilevel"/>
    <w:tmpl w:val="1FE263F0"/>
    <w:lvl w:ilvl="0">
      <w:start w:val="10"/>
      <w:numFmt w:val="decimal"/>
      <w:lvlText w:val="%1"/>
      <w:lvlJc w:val="left"/>
      <w:pPr>
        <w:ind w:hanging="545"/>
      </w:pPr>
      <w:rPr>
        <w:rFonts w:hint="default"/>
      </w:rPr>
    </w:lvl>
    <w:lvl w:ilvl="1">
      <w:start w:val="3"/>
      <w:numFmt w:val="decimal"/>
      <w:lvlText w:val="%1.%2."/>
      <w:lvlJc w:val="left"/>
      <w:pPr>
        <w:ind w:hanging="545"/>
      </w:pPr>
      <w:rPr>
        <w:rFonts w:ascii="Times New Roman" w:eastAsia="Times New Roman" w:hAnsi="Times New Roman" w:hint="default"/>
        <w:b/>
        <w:bCs/>
        <w:w w:val="99"/>
        <w:sz w:val="24"/>
        <w:szCs w:val="24"/>
      </w:rPr>
    </w:lvl>
    <w:lvl w:ilvl="2">
      <w:start w:val="1"/>
      <w:numFmt w:val="decimal"/>
      <w:lvlText w:val="%1.%2.%3."/>
      <w:lvlJc w:val="left"/>
      <w:pPr>
        <w:ind w:hanging="720"/>
      </w:pPr>
      <w:rPr>
        <w:rFonts w:ascii="Times New Roman" w:eastAsia="Times New Roman" w:hAnsi="Times New Roman" w:hint="default"/>
        <w:b/>
        <w:bCs/>
        <w:w w:val="99"/>
        <w:sz w:val="24"/>
        <w:szCs w:val="24"/>
      </w:rPr>
    </w:lvl>
    <w:lvl w:ilvl="3">
      <w:start w:val="1"/>
      <w:numFmt w:val="lowerLetter"/>
      <w:lvlText w:val="%4)"/>
      <w:lvlJc w:val="left"/>
      <w:pPr>
        <w:ind w:hanging="360"/>
      </w:pPr>
      <w:rPr>
        <w:rFonts w:ascii="Times New Roman" w:eastAsia="Times New Roman" w:hAnsi="Times New Roman" w:hint="default"/>
        <w:b/>
        <w:bCs/>
        <w:w w:val="99"/>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1943512F"/>
    <w:multiLevelType w:val="hybridMultilevel"/>
    <w:tmpl w:val="04A2F904"/>
    <w:lvl w:ilvl="0" w:tplc="827AFE4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27F93054"/>
    <w:multiLevelType w:val="hybridMultilevel"/>
    <w:tmpl w:val="5832EF8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B3F3B72"/>
    <w:multiLevelType w:val="hybridMultilevel"/>
    <w:tmpl w:val="AED6E0BE"/>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9327FBA"/>
    <w:multiLevelType w:val="hybridMultilevel"/>
    <w:tmpl w:val="C0E8155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3B5F5F70"/>
    <w:multiLevelType w:val="hybridMultilevel"/>
    <w:tmpl w:val="2A184948"/>
    <w:lvl w:ilvl="0" w:tplc="DFB496FE">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BEB5458"/>
    <w:multiLevelType w:val="hybridMultilevel"/>
    <w:tmpl w:val="C128CE8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41384196"/>
    <w:multiLevelType w:val="hybridMultilevel"/>
    <w:tmpl w:val="D3E22CE2"/>
    <w:lvl w:ilvl="0" w:tplc="66460BDA">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47C7571A"/>
    <w:multiLevelType w:val="multilevel"/>
    <w:tmpl w:val="937A18D6"/>
    <w:lvl w:ilvl="0">
      <w:start w:val="1"/>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7F6635D"/>
    <w:multiLevelType w:val="multilevel"/>
    <w:tmpl w:val="937A18D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0922C9E"/>
    <w:multiLevelType w:val="hybridMultilevel"/>
    <w:tmpl w:val="97B2ED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5305287D"/>
    <w:multiLevelType w:val="hybridMultilevel"/>
    <w:tmpl w:val="92847A4C"/>
    <w:lvl w:ilvl="0" w:tplc="FD64795C">
      <w:start w:val="1"/>
      <w:numFmt w:val="decimal"/>
      <w:lvlText w:val="%1."/>
      <w:lvlJc w:val="left"/>
      <w:pPr>
        <w:tabs>
          <w:tab w:val="num" w:pos="720"/>
        </w:tabs>
        <w:ind w:left="720" w:hanging="360"/>
      </w:pPr>
      <w:rPr>
        <w:b/>
      </w:rPr>
    </w:lvl>
    <w:lvl w:ilvl="1" w:tplc="3512451C">
      <w:start w:val="1"/>
      <w:numFmt w:val="lowerLetter"/>
      <w:lvlText w:val="%2)"/>
      <w:lvlJc w:val="left"/>
      <w:pPr>
        <w:tabs>
          <w:tab w:val="num" w:pos="1440"/>
        </w:tabs>
        <w:ind w:left="1440"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5E0B1EFC"/>
    <w:multiLevelType w:val="multilevel"/>
    <w:tmpl w:val="937A18D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E1F0A99"/>
    <w:multiLevelType w:val="singleLevel"/>
    <w:tmpl w:val="8BD4CFA4"/>
    <w:lvl w:ilvl="0">
      <w:start w:val="10"/>
      <w:numFmt w:val="upperRoman"/>
      <w:lvlText w:val=""/>
      <w:lvlJc w:val="left"/>
      <w:pPr>
        <w:tabs>
          <w:tab w:val="num" w:pos="649"/>
        </w:tabs>
        <w:ind w:left="649" w:hanging="360"/>
      </w:pPr>
      <w:rPr>
        <w:rFonts w:hint="default"/>
        <w:b/>
      </w:rPr>
    </w:lvl>
  </w:abstractNum>
  <w:abstractNum w:abstractNumId="22" w15:restartNumberingAfterBreak="0">
    <w:nsid w:val="5E412DB0"/>
    <w:multiLevelType w:val="hybridMultilevel"/>
    <w:tmpl w:val="60D2CAE2"/>
    <w:lvl w:ilvl="0" w:tplc="6CF69A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D30EAF"/>
    <w:multiLevelType w:val="multilevel"/>
    <w:tmpl w:val="2DD247F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F5E68DA"/>
    <w:multiLevelType w:val="multilevel"/>
    <w:tmpl w:val="CF0A52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15:restartNumberingAfterBreak="0">
    <w:nsid w:val="62B57893"/>
    <w:multiLevelType w:val="hybridMultilevel"/>
    <w:tmpl w:val="5DA027B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66DD0957"/>
    <w:multiLevelType w:val="hybridMultilevel"/>
    <w:tmpl w:val="EBF4ADA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9164CA9"/>
    <w:multiLevelType w:val="hybridMultilevel"/>
    <w:tmpl w:val="0B864FA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9DA2128"/>
    <w:multiLevelType w:val="hybridMultilevel"/>
    <w:tmpl w:val="B4D62596"/>
    <w:lvl w:ilvl="0" w:tplc="DB76C694">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7384722D"/>
    <w:multiLevelType w:val="hybridMultilevel"/>
    <w:tmpl w:val="09CC4A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556358B"/>
    <w:multiLevelType w:val="hybridMultilevel"/>
    <w:tmpl w:val="43BCCF76"/>
    <w:lvl w:ilvl="0" w:tplc="360A7560">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77336CE"/>
    <w:multiLevelType w:val="hybridMultilevel"/>
    <w:tmpl w:val="55AC0318"/>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E803C70"/>
    <w:multiLevelType w:val="multilevel"/>
    <w:tmpl w:val="F190A59A"/>
    <w:lvl w:ilvl="0">
      <w:start w:val="1"/>
      <w:numFmt w:val="decimal"/>
      <w:lvlText w:val="%1."/>
      <w:lvlJc w:val="left"/>
      <w:pPr>
        <w:tabs>
          <w:tab w:val="num" w:pos="720"/>
        </w:tabs>
        <w:ind w:left="720" w:hanging="360"/>
      </w:pPr>
      <w:rPr>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15:restartNumberingAfterBreak="0">
    <w:nsid w:val="7F844647"/>
    <w:multiLevelType w:val="hybridMultilevel"/>
    <w:tmpl w:val="C256183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1026714450">
    <w:abstractNumId w:val="21"/>
  </w:num>
  <w:num w:numId="2" w16cid:durableId="1550997645">
    <w:abstractNumId w:val="25"/>
  </w:num>
  <w:num w:numId="3" w16cid:durableId="1016426421">
    <w:abstractNumId w:val="27"/>
  </w:num>
  <w:num w:numId="4" w16cid:durableId="2099204806">
    <w:abstractNumId w:val="31"/>
  </w:num>
  <w:num w:numId="5" w16cid:durableId="1116758002">
    <w:abstractNumId w:val="3"/>
  </w:num>
  <w:num w:numId="6" w16cid:durableId="129178866">
    <w:abstractNumId w:val="19"/>
  </w:num>
  <w:num w:numId="7" w16cid:durableId="2038432982">
    <w:abstractNumId w:val="14"/>
  </w:num>
  <w:num w:numId="8" w16cid:durableId="662200470">
    <w:abstractNumId w:val="18"/>
  </w:num>
  <w:num w:numId="9" w16cid:durableId="2109932836">
    <w:abstractNumId w:val="32"/>
  </w:num>
  <w:num w:numId="10" w16cid:durableId="1797527317">
    <w:abstractNumId w:val="10"/>
  </w:num>
  <w:num w:numId="11" w16cid:durableId="938483470">
    <w:abstractNumId w:val="33"/>
  </w:num>
  <w:num w:numId="12" w16cid:durableId="361592448">
    <w:abstractNumId w:val="12"/>
  </w:num>
  <w:num w:numId="13" w16cid:durableId="540047820">
    <w:abstractNumId w:val="13"/>
  </w:num>
  <w:num w:numId="14" w16cid:durableId="375550107">
    <w:abstractNumId w:val="26"/>
  </w:num>
  <w:num w:numId="15" w16cid:durableId="231814849">
    <w:abstractNumId w:val="5"/>
  </w:num>
  <w:num w:numId="16" w16cid:durableId="1704943095">
    <w:abstractNumId w:val="8"/>
  </w:num>
  <w:num w:numId="17" w16cid:durableId="3380001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7839729">
    <w:abstractNumId w:val="29"/>
  </w:num>
  <w:num w:numId="19" w16cid:durableId="1133133912">
    <w:abstractNumId w:val="24"/>
  </w:num>
  <w:num w:numId="20" w16cid:durableId="1790051741">
    <w:abstractNumId w:val="4"/>
  </w:num>
  <w:num w:numId="21" w16cid:durableId="2043750457">
    <w:abstractNumId w:val="0"/>
  </w:num>
  <w:num w:numId="22" w16cid:durableId="1217471552">
    <w:abstractNumId w:val="28"/>
  </w:num>
  <w:num w:numId="23" w16cid:durableId="980815874">
    <w:abstractNumId w:val="9"/>
  </w:num>
  <w:num w:numId="24" w16cid:durableId="1002587024">
    <w:abstractNumId w:val="23"/>
  </w:num>
  <w:num w:numId="25" w16cid:durableId="81150428">
    <w:abstractNumId w:val="1"/>
  </w:num>
  <w:num w:numId="26" w16cid:durableId="739445769">
    <w:abstractNumId w:val="16"/>
  </w:num>
  <w:num w:numId="27" w16cid:durableId="1801917989">
    <w:abstractNumId w:val="17"/>
  </w:num>
  <w:num w:numId="28" w16cid:durableId="916981140">
    <w:abstractNumId w:val="7"/>
  </w:num>
  <w:num w:numId="29" w16cid:durableId="1026054344">
    <w:abstractNumId w:val="20"/>
  </w:num>
  <w:num w:numId="30" w16cid:durableId="8689536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6434940">
    <w:abstractNumId w:val="11"/>
  </w:num>
  <w:num w:numId="32" w16cid:durableId="1413888060">
    <w:abstractNumId w:val="30"/>
  </w:num>
  <w:num w:numId="33" w16cid:durableId="1244683574">
    <w:abstractNumId w:val="2"/>
  </w:num>
  <w:num w:numId="34" w16cid:durableId="1029256230">
    <w:abstractNumId w:val="22"/>
  </w:num>
  <w:num w:numId="35" w16cid:durableId="10650306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780"/>
    <w:rsid w:val="00031714"/>
    <w:rsid w:val="00045885"/>
    <w:rsid w:val="00063DEE"/>
    <w:rsid w:val="00070621"/>
    <w:rsid w:val="00072DA0"/>
    <w:rsid w:val="00083053"/>
    <w:rsid w:val="000A65F6"/>
    <w:rsid w:val="000B2988"/>
    <w:rsid w:val="000E16BB"/>
    <w:rsid w:val="00134B08"/>
    <w:rsid w:val="0013597C"/>
    <w:rsid w:val="0018632C"/>
    <w:rsid w:val="001E6BEF"/>
    <w:rsid w:val="002146D8"/>
    <w:rsid w:val="00223B26"/>
    <w:rsid w:val="0023731C"/>
    <w:rsid w:val="00240C66"/>
    <w:rsid w:val="00245085"/>
    <w:rsid w:val="00256126"/>
    <w:rsid w:val="00265963"/>
    <w:rsid w:val="00291425"/>
    <w:rsid w:val="002A4734"/>
    <w:rsid w:val="002B5435"/>
    <w:rsid w:val="002C0215"/>
    <w:rsid w:val="002D1BA7"/>
    <w:rsid w:val="00311CF1"/>
    <w:rsid w:val="0032646F"/>
    <w:rsid w:val="00335059"/>
    <w:rsid w:val="00364E4D"/>
    <w:rsid w:val="00383462"/>
    <w:rsid w:val="003A56DE"/>
    <w:rsid w:val="003C2A61"/>
    <w:rsid w:val="003E68E1"/>
    <w:rsid w:val="00400423"/>
    <w:rsid w:val="00417334"/>
    <w:rsid w:val="0042162A"/>
    <w:rsid w:val="00423072"/>
    <w:rsid w:val="004403EB"/>
    <w:rsid w:val="00453E47"/>
    <w:rsid w:val="004A4E5E"/>
    <w:rsid w:val="004F1289"/>
    <w:rsid w:val="00535A6E"/>
    <w:rsid w:val="0054534D"/>
    <w:rsid w:val="00580D93"/>
    <w:rsid w:val="00592069"/>
    <w:rsid w:val="00594336"/>
    <w:rsid w:val="00606965"/>
    <w:rsid w:val="00610B29"/>
    <w:rsid w:val="00630A71"/>
    <w:rsid w:val="00635B10"/>
    <w:rsid w:val="006601B7"/>
    <w:rsid w:val="0069212B"/>
    <w:rsid w:val="006952E1"/>
    <w:rsid w:val="0069760C"/>
    <w:rsid w:val="006C1F0B"/>
    <w:rsid w:val="006D03A2"/>
    <w:rsid w:val="006D6FD0"/>
    <w:rsid w:val="006E7C9D"/>
    <w:rsid w:val="006F7ABD"/>
    <w:rsid w:val="00701F9D"/>
    <w:rsid w:val="00703E0A"/>
    <w:rsid w:val="0071185C"/>
    <w:rsid w:val="00722303"/>
    <w:rsid w:val="00725D16"/>
    <w:rsid w:val="00726654"/>
    <w:rsid w:val="007363C5"/>
    <w:rsid w:val="00736ED1"/>
    <w:rsid w:val="00744C42"/>
    <w:rsid w:val="00746780"/>
    <w:rsid w:val="007A434B"/>
    <w:rsid w:val="007C0071"/>
    <w:rsid w:val="007C4611"/>
    <w:rsid w:val="007E3119"/>
    <w:rsid w:val="007F1D92"/>
    <w:rsid w:val="00800AF2"/>
    <w:rsid w:val="00823C8E"/>
    <w:rsid w:val="00852F70"/>
    <w:rsid w:val="0089107A"/>
    <w:rsid w:val="00895BA7"/>
    <w:rsid w:val="008D26AF"/>
    <w:rsid w:val="008F0FA1"/>
    <w:rsid w:val="00906648"/>
    <w:rsid w:val="009479B6"/>
    <w:rsid w:val="00967348"/>
    <w:rsid w:val="00967784"/>
    <w:rsid w:val="0098101D"/>
    <w:rsid w:val="00995B59"/>
    <w:rsid w:val="009A15B7"/>
    <w:rsid w:val="00A00E26"/>
    <w:rsid w:val="00A15525"/>
    <w:rsid w:val="00A257BB"/>
    <w:rsid w:val="00A53EE8"/>
    <w:rsid w:val="00A55589"/>
    <w:rsid w:val="00A55BC8"/>
    <w:rsid w:val="00AA3557"/>
    <w:rsid w:val="00AC1993"/>
    <w:rsid w:val="00AC31DF"/>
    <w:rsid w:val="00AF0BFF"/>
    <w:rsid w:val="00AF38DC"/>
    <w:rsid w:val="00AF4074"/>
    <w:rsid w:val="00B34EEF"/>
    <w:rsid w:val="00B51CC7"/>
    <w:rsid w:val="00B836E9"/>
    <w:rsid w:val="00B90BB8"/>
    <w:rsid w:val="00BC2C15"/>
    <w:rsid w:val="00BE514E"/>
    <w:rsid w:val="00C01549"/>
    <w:rsid w:val="00C02358"/>
    <w:rsid w:val="00C06068"/>
    <w:rsid w:val="00C15E98"/>
    <w:rsid w:val="00C4138A"/>
    <w:rsid w:val="00C51369"/>
    <w:rsid w:val="00C521DE"/>
    <w:rsid w:val="00C67A52"/>
    <w:rsid w:val="00C810A6"/>
    <w:rsid w:val="00C8313F"/>
    <w:rsid w:val="00C97C31"/>
    <w:rsid w:val="00CB4FC4"/>
    <w:rsid w:val="00D02F73"/>
    <w:rsid w:val="00D16DBA"/>
    <w:rsid w:val="00D418CC"/>
    <w:rsid w:val="00D60C1A"/>
    <w:rsid w:val="00D72D80"/>
    <w:rsid w:val="00D81A52"/>
    <w:rsid w:val="00D9123B"/>
    <w:rsid w:val="00D9168C"/>
    <w:rsid w:val="00DB3DAB"/>
    <w:rsid w:val="00DC315C"/>
    <w:rsid w:val="00DC6A36"/>
    <w:rsid w:val="00DD3B5D"/>
    <w:rsid w:val="00DE6006"/>
    <w:rsid w:val="00DF3AD9"/>
    <w:rsid w:val="00DF6F22"/>
    <w:rsid w:val="00DF7E18"/>
    <w:rsid w:val="00E04DF3"/>
    <w:rsid w:val="00E261DE"/>
    <w:rsid w:val="00E41F6D"/>
    <w:rsid w:val="00E554FA"/>
    <w:rsid w:val="00E74B9F"/>
    <w:rsid w:val="00E82AF0"/>
    <w:rsid w:val="00E97834"/>
    <w:rsid w:val="00EA18E5"/>
    <w:rsid w:val="00EE6538"/>
    <w:rsid w:val="00F16CA1"/>
    <w:rsid w:val="00F21475"/>
    <w:rsid w:val="00F336F2"/>
    <w:rsid w:val="00F4044A"/>
    <w:rsid w:val="00F711F5"/>
    <w:rsid w:val="00F83F1E"/>
    <w:rsid w:val="00FB7ACA"/>
    <w:rsid w:val="00FF6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C9CC"/>
  <w15:docId w15:val="{24BDB7AB-297C-4F42-9C8C-1D0E07CF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780"/>
    <w:pPr>
      <w:spacing w:after="0" w:line="240" w:lineRule="auto"/>
      <w:jc w:val="both"/>
    </w:pPr>
    <w:rPr>
      <w:rFonts w:ascii="Times New Roman" w:eastAsia="Times New Roman" w:hAnsi="Times New Roman" w:cs="Times New Roman"/>
      <w:sz w:val="24"/>
      <w:szCs w:val="24"/>
      <w:lang w:val="tr-TR" w:eastAsia="tr-TR"/>
    </w:rPr>
  </w:style>
  <w:style w:type="paragraph" w:styleId="Balk1">
    <w:name w:val="heading 1"/>
    <w:basedOn w:val="Normal"/>
    <w:next w:val="Normal"/>
    <w:link w:val="Balk1Char"/>
    <w:qFormat/>
    <w:rsid w:val="00746780"/>
    <w:pPr>
      <w:keepNext/>
      <w:outlineLvl w:val="0"/>
    </w:pPr>
    <w:rPr>
      <w:rFonts w:cs="Arial"/>
      <w:b/>
      <w:bCs/>
      <w:sz w:val="32"/>
      <w:szCs w:val="32"/>
    </w:rPr>
  </w:style>
  <w:style w:type="paragraph" w:styleId="Balk2">
    <w:name w:val="heading 2"/>
    <w:basedOn w:val="Normal"/>
    <w:next w:val="Normal"/>
    <w:link w:val="Balk2Char"/>
    <w:qFormat/>
    <w:rsid w:val="00746780"/>
    <w:pPr>
      <w:keepNext/>
      <w:outlineLvl w:val="1"/>
    </w:pPr>
    <w:rPr>
      <w:rFonts w:cs="Arial"/>
      <w:b/>
      <w:bCs/>
      <w:iCs/>
      <w:sz w:val="28"/>
      <w:szCs w:val="28"/>
    </w:rPr>
  </w:style>
  <w:style w:type="paragraph" w:styleId="Balk3">
    <w:name w:val="heading 3"/>
    <w:basedOn w:val="Normal"/>
    <w:next w:val="Normal"/>
    <w:link w:val="Balk3Char"/>
    <w:qFormat/>
    <w:rsid w:val="00746780"/>
    <w:pPr>
      <w:keepNext/>
      <w:outlineLvl w:val="2"/>
    </w:pPr>
    <w:rPr>
      <w:rFonts w:cs="Arial"/>
      <w:b/>
      <w:bCs/>
      <w:sz w:val="26"/>
      <w:szCs w:val="26"/>
    </w:rPr>
  </w:style>
  <w:style w:type="paragraph" w:styleId="Balk4">
    <w:name w:val="heading 4"/>
    <w:basedOn w:val="Normal"/>
    <w:next w:val="Normal"/>
    <w:link w:val="Balk4Char"/>
    <w:qFormat/>
    <w:rsid w:val="00746780"/>
    <w:pPr>
      <w:keepNext/>
      <w:outlineLvl w:val="3"/>
    </w:pPr>
    <w:rPr>
      <w:b/>
    </w:rPr>
  </w:style>
  <w:style w:type="paragraph" w:styleId="Balk5">
    <w:name w:val="heading 5"/>
    <w:basedOn w:val="Normal"/>
    <w:next w:val="Normal"/>
    <w:link w:val="Balk5Char"/>
    <w:qFormat/>
    <w:rsid w:val="00746780"/>
    <w:pPr>
      <w:keepNext/>
      <w:outlineLvl w:val="4"/>
    </w:pPr>
  </w:style>
  <w:style w:type="paragraph" w:styleId="Balk7">
    <w:name w:val="heading 7"/>
    <w:basedOn w:val="Normal"/>
    <w:next w:val="Normal"/>
    <w:link w:val="Balk7Char"/>
    <w:qFormat/>
    <w:rsid w:val="00746780"/>
    <w:pPr>
      <w:keepNext/>
      <w:spacing w:line="280" w:lineRule="atLeast"/>
      <w:outlineLvl w:val="6"/>
    </w:pPr>
    <w:rPr>
      <w:b/>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46780"/>
    <w:rPr>
      <w:rFonts w:ascii="Times New Roman" w:eastAsia="Times New Roman" w:hAnsi="Times New Roman" w:cs="Arial"/>
      <w:b/>
      <w:bCs/>
      <w:sz w:val="32"/>
      <w:szCs w:val="32"/>
      <w:lang w:val="tr-TR" w:eastAsia="tr-TR"/>
    </w:rPr>
  </w:style>
  <w:style w:type="character" w:customStyle="1" w:styleId="Balk2Char">
    <w:name w:val="Başlık 2 Char"/>
    <w:basedOn w:val="VarsaylanParagrafYazTipi"/>
    <w:link w:val="Balk2"/>
    <w:rsid w:val="00746780"/>
    <w:rPr>
      <w:rFonts w:ascii="Times New Roman" w:eastAsia="Times New Roman" w:hAnsi="Times New Roman" w:cs="Arial"/>
      <w:b/>
      <w:bCs/>
      <w:iCs/>
      <w:sz w:val="28"/>
      <w:szCs w:val="28"/>
      <w:lang w:val="tr-TR" w:eastAsia="tr-TR"/>
    </w:rPr>
  </w:style>
  <w:style w:type="character" w:customStyle="1" w:styleId="Balk3Char">
    <w:name w:val="Başlık 3 Char"/>
    <w:basedOn w:val="VarsaylanParagrafYazTipi"/>
    <w:link w:val="Balk3"/>
    <w:rsid w:val="00746780"/>
    <w:rPr>
      <w:rFonts w:ascii="Times New Roman" w:eastAsia="Times New Roman" w:hAnsi="Times New Roman" w:cs="Arial"/>
      <w:b/>
      <w:bCs/>
      <w:sz w:val="26"/>
      <w:szCs w:val="26"/>
      <w:lang w:val="tr-TR" w:eastAsia="tr-TR"/>
    </w:rPr>
  </w:style>
  <w:style w:type="character" w:customStyle="1" w:styleId="Balk4Char">
    <w:name w:val="Başlık 4 Char"/>
    <w:basedOn w:val="VarsaylanParagrafYazTipi"/>
    <w:link w:val="Balk4"/>
    <w:rsid w:val="00746780"/>
    <w:rPr>
      <w:rFonts w:ascii="Times New Roman" w:eastAsia="Times New Roman" w:hAnsi="Times New Roman" w:cs="Times New Roman"/>
      <w:b/>
      <w:sz w:val="24"/>
      <w:szCs w:val="24"/>
      <w:lang w:val="tr-TR" w:eastAsia="tr-TR"/>
    </w:rPr>
  </w:style>
  <w:style w:type="character" w:customStyle="1" w:styleId="Balk5Char">
    <w:name w:val="Başlık 5 Char"/>
    <w:basedOn w:val="VarsaylanParagrafYazTipi"/>
    <w:link w:val="Balk5"/>
    <w:rsid w:val="00746780"/>
    <w:rPr>
      <w:rFonts w:ascii="Times New Roman" w:eastAsia="Times New Roman" w:hAnsi="Times New Roman" w:cs="Times New Roman"/>
      <w:sz w:val="24"/>
      <w:szCs w:val="24"/>
      <w:lang w:val="tr-TR" w:eastAsia="tr-TR"/>
    </w:rPr>
  </w:style>
  <w:style w:type="character" w:customStyle="1" w:styleId="Balk7Char">
    <w:name w:val="Başlık 7 Char"/>
    <w:basedOn w:val="VarsaylanParagrafYazTipi"/>
    <w:link w:val="Balk7"/>
    <w:rsid w:val="00746780"/>
    <w:rPr>
      <w:rFonts w:ascii="Times New Roman" w:eastAsia="Times New Roman" w:hAnsi="Times New Roman" w:cs="Times New Roman"/>
      <w:b/>
      <w:sz w:val="18"/>
      <w:szCs w:val="24"/>
      <w:lang w:val="tr-TR" w:eastAsia="tr-TR"/>
    </w:rPr>
  </w:style>
  <w:style w:type="table" w:styleId="TabloKlavuzu">
    <w:name w:val="Table Grid"/>
    <w:basedOn w:val="NormalTablo"/>
    <w:uiPriority w:val="39"/>
    <w:rsid w:val="00746780"/>
    <w:pPr>
      <w:spacing w:after="0" w:line="240" w:lineRule="auto"/>
      <w:jc w:val="both"/>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rsid w:val="00746780"/>
    <w:rPr>
      <w:sz w:val="16"/>
      <w:szCs w:val="16"/>
    </w:rPr>
  </w:style>
  <w:style w:type="paragraph" w:styleId="AklamaMetni">
    <w:name w:val="annotation text"/>
    <w:basedOn w:val="Normal"/>
    <w:link w:val="AklamaMetniChar"/>
    <w:semiHidden/>
    <w:rsid w:val="00746780"/>
    <w:rPr>
      <w:sz w:val="20"/>
      <w:szCs w:val="20"/>
    </w:rPr>
  </w:style>
  <w:style w:type="character" w:customStyle="1" w:styleId="AklamaMetniChar">
    <w:name w:val="Açıklama Metni Char"/>
    <w:basedOn w:val="VarsaylanParagrafYazTipi"/>
    <w:link w:val="AklamaMetni"/>
    <w:semiHidden/>
    <w:rsid w:val="00746780"/>
    <w:rPr>
      <w:rFonts w:ascii="Times New Roman" w:eastAsia="Times New Roman" w:hAnsi="Times New Roman" w:cs="Times New Roman"/>
      <w:sz w:val="20"/>
      <w:szCs w:val="20"/>
      <w:lang w:val="tr-TR" w:eastAsia="tr-TR"/>
    </w:rPr>
  </w:style>
  <w:style w:type="paragraph" w:styleId="AklamaKonusu">
    <w:name w:val="annotation subject"/>
    <w:basedOn w:val="AklamaMetni"/>
    <w:next w:val="AklamaMetni"/>
    <w:link w:val="AklamaKonusuChar"/>
    <w:semiHidden/>
    <w:rsid w:val="00746780"/>
    <w:rPr>
      <w:b/>
      <w:bCs/>
    </w:rPr>
  </w:style>
  <w:style w:type="character" w:customStyle="1" w:styleId="AklamaKonusuChar">
    <w:name w:val="Açıklama Konusu Char"/>
    <w:basedOn w:val="AklamaMetniChar"/>
    <w:link w:val="AklamaKonusu"/>
    <w:semiHidden/>
    <w:rsid w:val="00746780"/>
    <w:rPr>
      <w:rFonts w:ascii="Times New Roman" w:eastAsia="Times New Roman" w:hAnsi="Times New Roman" w:cs="Times New Roman"/>
      <w:b/>
      <w:bCs/>
      <w:sz w:val="20"/>
      <w:szCs w:val="20"/>
      <w:lang w:val="tr-TR" w:eastAsia="tr-TR"/>
    </w:rPr>
  </w:style>
  <w:style w:type="paragraph" w:styleId="BalonMetni">
    <w:name w:val="Balloon Text"/>
    <w:basedOn w:val="Normal"/>
    <w:link w:val="BalonMetniChar"/>
    <w:semiHidden/>
    <w:rsid w:val="00746780"/>
    <w:rPr>
      <w:rFonts w:ascii="Tahoma" w:hAnsi="Tahoma" w:cs="Tahoma"/>
      <w:sz w:val="16"/>
      <w:szCs w:val="16"/>
    </w:rPr>
  </w:style>
  <w:style w:type="character" w:customStyle="1" w:styleId="BalonMetniChar">
    <w:name w:val="Balon Metni Char"/>
    <w:basedOn w:val="VarsaylanParagrafYazTipi"/>
    <w:link w:val="BalonMetni"/>
    <w:semiHidden/>
    <w:rsid w:val="00746780"/>
    <w:rPr>
      <w:rFonts w:ascii="Tahoma" w:eastAsia="Times New Roman" w:hAnsi="Tahoma" w:cs="Tahoma"/>
      <w:sz w:val="16"/>
      <w:szCs w:val="16"/>
      <w:lang w:val="tr-TR" w:eastAsia="tr-TR"/>
    </w:rPr>
  </w:style>
  <w:style w:type="paragraph" w:styleId="BelgeBalantlar">
    <w:name w:val="Document Map"/>
    <w:basedOn w:val="Normal"/>
    <w:link w:val="BelgeBalantlarChar"/>
    <w:semiHidden/>
    <w:rsid w:val="00746780"/>
    <w:pPr>
      <w:shd w:val="clear" w:color="auto" w:fill="000080"/>
    </w:pPr>
    <w:rPr>
      <w:rFonts w:ascii="Tahoma" w:hAnsi="Tahoma" w:cs="Tahoma"/>
      <w:sz w:val="20"/>
      <w:szCs w:val="20"/>
    </w:rPr>
  </w:style>
  <w:style w:type="character" w:customStyle="1" w:styleId="BelgeBalantlarChar">
    <w:name w:val="Belge Bağlantıları Char"/>
    <w:basedOn w:val="VarsaylanParagrafYazTipi"/>
    <w:link w:val="BelgeBalantlar"/>
    <w:semiHidden/>
    <w:rsid w:val="00746780"/>
    <w:rPr>
      <w:rFonts w:ascii="Tahoma" w:eastAsia="Times New Roman" w:hAnsi="Tahoma" w:cs="Tahoma"/>
      <w:sz w:val="20"/>
      <w:szCs w:val="20"/>
      <w:shd w:val="clear" w:color="auto" w:fill="000080"/>
      <w:lang w:val="tr-TR" w:eastAsia="tr-TR"/>
    </w:rPr>
  </w:style>
  <w:style w:type="paragraph" w:styleId="stBilgi">
    <w:name w:val="header"/>
    <w:basedOn w:val="Normal"/>
    <w:link w:val="stBilgiChar"/>
    <w:rsid w:val="00746780"/>
    <w:pPr>
      <w:tabs>
        <w:tab w:val="center" w:pos="4536"/>
        <w:tab w:val="right" w:pos="9072"/>
      </w:tabs>
    </w:pPr>
  </w:style>
  <w:style w:type="character" w:customStyle="1" w:styleId="stBilgiChar">
    <w:name w:val="Üst Bilgi Char"/>
    <w:basedOn w:val="VarsaylanParagrafYazTipi"/>
    <w:link w:val="stBilgi"/>
    <w:rsid w:val="00746780"/>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rsid w:val="00746780"/>
    <w:pPr>
      <w:tabs>
        <w:tab w:val="center" w:pos="4536"/>
        <w:tab w:val="right" w:pos="9072"/>
      </w:tabs>
    </w:pPr>
  </w:style>
  <w:style w:type="character" w:customStyle="1" w:styleId="AltBilgiChar">
    <w:name w:val="Alt Bilgi Char"/>
    <w:basedOn w:val="VarsaylanParagrafYazTipi"/>
    <w:link w:val="AltBilgi"/>
    <w:uiPriority w:val="99"/>
    <w:rsid w:val="00746780"/>
    <w:rPr>
      <w:rFonts w:ascii="Times New Roman" w:eastAsia="Times New Roman" w:hAnsi="Times New Roman" w:cs="Times New Roman"/>
      <w:sz w:val="24"/>
      <w:szCs w:val="24"/>
      <w:lang w:val="tr-TR" w:eastAsia="tr-TR"/>
    </w:rPr>
  </w:style>
  <w:style w:type="paragraph" w:styleId="SonNotMetni">
    <w:name w:val="endnote text"/>
    <w:basedOn w:val="Normal"/>
    <w:link w:val="SonNotMetniChar"/>
    <w:semiHidden/>
    <w:rsid w:val="00746780"/>
    <w:rPr>
      <w:sz w:val="20"/>
      <w:szCs w:val="20"/>
    </w:rPr>
  </w:style>
  <w:style w:type="character" w:customStyle="1" w:styleId="SonNotMetniChar">
    <w:name w:val="Son Not Metni Char"/>
    <w:basedOn w:val="VarsaylanParagrafYazTipi"/>
    <w:link w:val="SonNotMetni"/>
    <w:semiHidden/>
    <w:rsid w:val="00746780"/>
    <w:rPr>
      <w:rFonts w:ascii="Times New Roman" w:eastAsia="Times New Roman" w:hAnsi="Times New Roman" w:cs="Times New Roman"/>
      <w:sz w:val="20"/>
      <w:szCs w:val="20"/>
      <w:lang w:val="tr-TR" w:eastAsia="tr-TR"/>
    </w:rPr>
  </w:style>
  <w:style w:type="character" w:styleId="SonNotBavurusu">
    <w:name w:val="endnote reference"/>
    <w:semiHidden/>
    <w:rsid w:val="00746780"/>
    <w:rPr>
      <w:vertAlign w:val="superscript"/>
    </w:rPr>
  </w:style>
  <w:style w:type="paragraph" w:styleId="DipnotMetni">
    <w:name w:val="footnote text"/>
    <w:basedOn w:val="Normal"/>
    <w:link w:val="DipnotMetniChar"/>
    <w:uiPriority w:val="99"/>
    <w:semiHidden/>
    <w:rsid w:val="00746780"/>
    <w:rPr>
      <w:sz w:val="20"/>
      <w:szCs w:val="20"/>
    </w:rPr>
  </w:style>
  <w:style w:type="character" w:customStyle="1" w:styleId="DipnotMetniChar">
    <w:name w:val="Dipnot Metni Char"/>
    <w:basedOn w:val="VarsaylanParagrafYazTipi"/>
    <w:link w:val="DipnotMetni"/>
    <w:uiPriority w:val="99"/>
    <w:semiHidden/>
    <w:rsid w:val="00746780"/>
    <w:rPr>
      <w:rFonts w:ascii="Times New Roman" w:eastAsia="Times New Roman" w:hAnsi="Times New Roman" w:cs="Times New Roman"/>
      <w:sz w:val="20"/>
      <w:szCs w:val="20"/>
      <w:lang w:val="tr-TR" w:eastAsia="tr-TR"/>
    </w:rPr>
  </w:style>
  <w:style w:type="character" w:styleId="DipnotBavurusu">
    <w:name w:val="footnote reference"/>
    <w:uiPriority w:val="99"/>
    <w:rsid w:val="00746780"/>
    <w:rPr>
      <w:vertAlign w:val="superscript"/>
    </w:rPr>
  </w:style>
  <w:style w:type="character" w:styleId="Kpr">
    <w:name w:val="Hyperlink"/>
    <w:uiPriority w:val="99"/>
    <w:rsid w:val="00746780"/>
    <w:rPr>
      <w:color w:val="0000FF"/>
      <w:u w:val="single"/>
    </w:rPr>
  </w:style>
  <w:style w:type="paragraph" w:customStyle="1" w:styleId="Default">
    <w:name w:val="Default"/>
    <w:rsid w:val="00746780"/>
    <w:pPr>
      <w:widowControl w:val="0"/>
      <w:autoSpaceDE w:val="0"/>
      <w:autoSpaceDN w:val="0"/>
      <w:adjustRightInd w:val="0"/>
      <w:spacing w:after="0" w:line="240" w:lineRule="auto"/>
    </w:pPr>
    <w:rPr>
      <w:rFonts w:ascii="Verdana" w:eastAsia="Times New Roman" w:hAnsi="Verdana" w:cs="Verdana"/>
      <w:color w:val="000000"/>
      <w:sz w:val="24"/>
      <w:szCs w:val="24"/>
      <w:lang w:val="tr-TR" w:eastAsia="tr-TR"/>
    </w:rPr>
  </w:style>
  <w:style w:type="paragraph" w:styleId="ListeParagraf">
    <w:name w:val="List Paragraph"/>
    <w:basedOn w:val="Normal"/>
    <w:uiPriority w:val="99"/>
    <w:qFormat/>
    <w:rsid w:val="00746780"/>
    <w:pPr>
      <w:ind w:left="708"/>
    </w:pPr>
  </w:style>
  <w:style w:type="paragraph" w:styleId="GvdeMetni">
    <w:name w:val="Body Text"/>
    <w:basedOn w:val="Normal"/>
    <w:link w:val="GvdeMetniChar"/>
    <w:uiPriority w:val="1"/>
    <w:qFormat/>
    <w:rsid w:val="00746780"/>
    <w:pPr>
      <w:widowControl w:val="0"/>
      <w:ind w:left="538"/>
      <w:jc w:val="left"/>
    </w:pPr>
    <w:rPr>
      <w:lang w:val="en-US" w:eastAsia="en-US"/>
    </w:rPr>
  </w:style>
  <w:style w:type="character" w:customStyle="1" w:styleId="GvdeMetniChar">
    <w:name w:val="Gövde Metni Char"/>
    <w:basedOn w:val="VarsaylanParagrafYazTipi"/>
    <w:link w:val="GvdeMetni"/>
    <w:uiPriority w:val="1"/>
    <w:rsid w:val="00746780"/>
    <w:rPr>
      <w:rFonts w:ascii="Times New Roman" w:eastAsia="Times New Roman" w:hAnsi="Times New Roman" w:cs="Times New Roman"/>
      <w:sz w:val="24"/>
      <w:szCs w:val="24"/>
    </w:rPr>
  </w:style>
  <w:style w:type="paragraph" w:customStyle="1" w:styleId="GvdeMetni31">
    <w:name w:val="Gövde Metni 31"/>
    <w:basedOn w:val="Default"/>
    <w:next w:val="Default"/>
    <w:rsid w:val="00746780"/>
    <w:pPr>
      <w:widowControl/>
    </w:pPr>
    <w:rPr>
      <w:rFonts w:ascii="Times New Roman" w:hAnsi="Times New Roman" w:cs="Times New Roman"/>
      <w:color w:val="auto"/>
    </w:rPr>
  </w:style>
  <w:style w:type="paragraph" w:styleId="GvdeMetniGirintisi3">
    <w:name w:val="Body Text Indent 3"/>
    <w:basedOn w:val="Normal"/>
    <w:link w:val="GvdeMetniGirintisi3Char"/>
    <w:semiHidden/>
    <w:unhideWhenUsed/>
    <w:rsid w:val="00746780"/>
    <w:pPr>
      <w:spacing w:after="120"/>
      <w:ind w:left="283"/>
    </w:pPr>
    <w:rPr>
      <w:sz w:val="16"/>
      <w:szCs w:val="16"/>
    </w:rPr>
  </w:style>
  <w:style w:type="character" w:customStyle="1" w:styleId="GvdeMetniGirintisi3Char">
    <w:name w:val="Gövde Metni Girintisi 3 Char"/>
    <w:basedOn w:val="VarsaylanParagrafYazTipi"/>
    <w:link w:val="GvdeMetniGirintisi3"/>
    <w:semiHidden/>
    <w:rsid w:val="00746780"/>
    <w:rPr>
      <w:rFonts w:ascii="Times New Roman" w:eastAsia="Times New Roman" w:hAnsi="Times New Roman" w:cs="Times New Roman"/>
      <w:sz w:val="16"/>
      <w:szCs w:val="16"/>
      <w:lang w:val="tr-TR" w:eastAsia="tr-TR"/>
    </w:rPr>
  </w:style>
  <w:style w:type="paragraph" w:customStyle="1" w:styleId="3-NormalYaz">
    <w:name w:val="3-Normal Yazı"/>
    <w:basedOn w:val="Normal"/>
    <w:uiPriority w:val="99"/>
    <w:rsid w:val="00746780"/>
    <w:rPr>
      <w:rFonts w:eastAsia="Calibri"/>
      <w:sz w:val="19"/>
      <w:szCs w:val="19"/>
    </w:rPr>
  </w:style>
  <w:style w:type="character" w:customStyle="1" w:styleId="apple-converted-space">
    <w:name w:val="apple-converted-space"/>
    <w:basedOn w:val="VarsaylanParagrafYazTipi"/>
    <w:rsid w:val="00746780"/>
  </w:style>
  <w:style w:type="paragraph" w:styleId="GvdeMetniGirintisi">
    <w:name w:val="Body Text Indent"/>
    <w:basedOn w:val="Normal"/>
    <w:link w:val="GvdeMetniGirintisiChar"/>
    <w:unhideWhenUsed/>
    <w:rsid w:val="00746780"/>
    <w:pPr>
      <w:spacing w:after="120"/>
      <w:ind w:left="283"/>
    </w:pPr>
  </w:style>
  <w:style w:type="character" w:customStyle="1" w:styleId="GvdeMetniGirintisiChar">
    <w:name w:val="Gövde Metni Girintisi Char"/>
    <w:basedOn w:val="VarsaylanParagrafYazTipi"/>
    <w:link w:val="GvdeMetniGirintisi"/>
    <w:rsid w:val="00746780"/>
    <w:rPr>
      <w:rFonts w:ascii="Times New Roman" w:eastAsia="Times New Roman" w:hAnsi="Times New Roman" w:cs="Times New Roman"/>
      <w:sz w:val="24"/>
      <w:szCs w:val="24"/>
      <w:lang w:val="tr-TR" w:eastAsia="tr-TR"/>
    </w:rPr>
  </w:style>
  <w:style w:type="paragraph" w:styleId="TBal">
    <w:name w:val="TOC Heading"/>
    <w:basedOn w:val="Balk1"/>
    <w:next w:val="Normal"/>
    <w:uiPriority w:val="39"/>
    <w:unhideWhenUsed/>
    <w:qFormat/>
    <w:rsid w:val="00746780"/>
    <w:pPr>
      <w:keepLines/>
      <w:spacing w:before="240" w:line="259" w:lineRule="auto"/>
      <w:jc w:val="left"/>
      <w:outlineLvl w:val="9"/>
    </w:pPr>
    <w:rPr>
      <w:rFonts w:asciiTheme="majorHAnsi" w:eastAsiaTheme="majorEastAsia" w:hAnsiTheme="majorHAnsi" w:cstheme="majorBidi"/>
      <w:b w:val="0"/>
      <w:bCs w:val="0"/>
      <w:color w:val="2F5496" w:themeColor="accent1" w:themeShade="BF"/>
      <w:lang w:val="en-US" w:eastAsia="en-US"/>
    </w:rPr>
  </w:style>
  <w:style w:type="paragraph" w:styleId="T2">
    <w:name w:val="toc 2"/>
    <w:basedOn w:val="Normal"/>
    <w:next w:val="Normal"/>
    <w:autoRedefine/>
    <w:uiPriority w:val="39"/>
    <w:unhideWhenUsed/>
    <w:rsid w:val="00746780"/>
    <w:pPr>
      <w:ind w:left="240"/>
      <w:jc w:val="left"/>
    </w:pPr>
    <w:rPr>
      <w:rFonts w:asciiTheme="minorHAnsi" w:hAnsiTheme="minorHAnsi" w:cstheme="minorHAnsi"/>
      <w:smallCaps/>
      <w:sz w:val="20"/>
      <w:szCs w:val="20"/>
    </w:rPr>
  </w:style>
  <w:style w:type="paragraph" w:styleId="T1">
    <w:name w:val="toc 1"/>
    <w:basedOn w:val="Normal"/>
    <w:next w:val="Normal"/>
    <w:autoRedefine/>
    <w:uiPriority w:val="39"/>
    <w:unhideWhenUsed/>
    <w:rsid w:val="00746780"/>
    <w:pPr>
      <w:spacing w:before="120" w:after="120"/>
      <w:jc w:val="left"/>
    </w:pPr>
    <w:rPr>
      <w:rFonts w:asciiTheme="minorHAnsi" w:hAnsiTheme="minorHAnsi" w:cstheme="minorHAnsi"/>
      <w:b/>
      <w:bCs/>
      <w:caps/>
      <w:sz w:val="20"/>
      <w:szCs w:val="20"/>
    </w:rPr>
  </w:style>
  <w:style w:type="paragraph" w:styleId="T3">
    <w:name w:val="toc 3"/>
    <w:basedOn w:val="Normal"/>
    <w:next w:val="Normal"/>
    <w:autoRedefine/>
    <w:uiPriority w:val="39"/>
    <w:unhideWhenUsed/>
    <w:rsid w:val="00746780"/>
    <w:pPr>
      <w:ind w:left="480"/>
      <w:jc w:val="left"/>
    </w:pPr>
    <w:rPr>
      <w:rFonts w:asciiTheme="minorHAnsi" w:hAnsiTheme="minorHAnsi" w:cstheme="minorHAnsi"/>
      <w:i/>
      <w:iCs/>
      <w:sz w:val="20"/>
      <w:szCs w:val="20"/>
    </w:rPr>
  </w:style>
  <w:style w:type="paragraph" w:styleId="T4">
    <w:name w:val="toc 4"/>
    <w:basedOn w:val="Normal"/>
    <w:next w:val="Normal"/>
    <w:autoRedefine/>
    <w:unhideWhenUsed/>
    <w:rsid w:val="00746780"/>
    <w:pPr>
      <w:ind w:left="720"/>
      <w:jc w:val="left"/>
    </w:pPr>
    <w:rPr>
      <w:rFonts w:asciiTheme="minorHAnsi" w:hAnsiTheme="minorHAnsi" w:cstheme="minorHAnsi"/>
      <w:sz w:val="18"/>
      <w:szCs w:val="18"/>
    </w:rPr>
  </w:style>
  <w:style w:type="paragraph" w:styleId="T5">
    <w:name w:val="toc 5"/>
    <w:basedOn w:val="Normal"/>
    <w:next w:val="Normal"/>
    <w:autoRedefine/>
    <w:unhideWhenUsed/>
    <w:rsid w:val="00746780"/>
    <w:pPr>
      <w:ind w:left="960"/>
      <w:jc w:val="left"/>
    </w:pPr>
    <w:rPr>
      <w:rFonts w:asciiTheme="minorHAnsi" w:hAnsiTheme="minorHAnsi" w:cstheme="minorHAnsi"/>
      <w:sz w:val="18"/>
      <w:szCs w:val="18"/>
    </w:rPr>
  </w:style>
  <w:style w:type="paragraph" w:styleId="T6">
    <w:name w:val="toc 6"/>
    <w:basedOn w:val="Normal"/>
    <w:next w:val="Normal"/>
    <w:autoRedefine/>
    <w:unhideWhenUsed/>
    <w:rsid w:val="00746780"/>
    <w:pPr>
      <w:ind w:left="1200"/>
      <w:jc w:val="left"/>
    </w:pPr>
    <w:rPr>
      <w:rFonts w:asciiTheme="minorHAnsi" w:hAnsiTheme="minorHAnsi" w:cstheme="minorHAnsi"/>
      <w:sz w:val="18"/>
      <w:szCs w:val="18"/>
    </w:rPr>
  </w:style>
  <w:style w:type="paragraph" w:styleId="T7">
    <w:name w:val="toc 7"/>
    <w:basedOn w:val="Normal"/>
    <w:next w:val="Normal"/>
    <w:autoRedefine/>
    <w:unhideWhenUsed/>
    <w:rsid w:val="00746780"/>
    <w:pPr>
      <w:ind w:left="1440"/>
      <w:jc w:val="left"/>
    </w:pPr>
    <w:rPr>
      <w:rFonts w:asciiTheme="minorHAnsi" w:hAnsiTheme="minorHAnsi" w:cstheme="minorHAnsi"/>
      <w:sz w:val="18"/>
      <w:szCs w:val="18"/>
    </w:rPr>
  </w:style>
  <w:style w:type="paragraph" w:styleId="T8">
    <w:name w:val="toc 8"/>
    <w:basedOn w:val="Normal"/>
    <w:next w:val="Normal"/>
    <w:autoRedefine/>
    <w:unhideWhenUsed/>
    <w:rsid w:val="00746780"/>
    <w:pPr>
      <w:ind w:left="1680"/>
      <w:jc w:val="left"/>
    </w:pPr>
    <w:rPr>
      <w:rFonts w:asciiTheme="minorHAnsi" w:hAnsiTheme="minorHAnsi" w:cstheme="minorHAnsi"/>
      <w:sz w:val="18"/>
      <w:szCs w:val="18"/>
    </w:rPr>
  </w:style>
  <w:style w:type="paragraph" w:styleId="T9">
    <w:name w:val="toc 9"/>
    <w:basedOn w:val="Normal"/>
    <w:next w:val="Normal"/>
    <w:autoRedefine/>
    <w:unhideWhenUsed/>
    <w:rsid w:val="00746780"/>
    <w:pPr>
      <w:ind w:left="1920"/>
      <w:jc w:val="left"/>
    </w:pPr>
    <w:rPr>
      <w:rFonts w:asciiTheme="minorHAnsi" w:hAnsiTheme="minorHAnsi" w:cstheme="minorHAnsi"/>
      <w:sz w:val="18"/>
      <w:szCs w:val="18"/>
    </w:rPr>
  </w:style>
  <w:style w:type="paragraph" w:styleId="Dzeltme">
    <w:name w:val="Revision"/>
    <w:hidden/>
    <w:uiPriority w:val="99"/>
    <w:semiHidden/>
    <w:rsid w:val="00701F9D"/>
    <w:pPr>
      <w:spacing w:after="0"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80448">
      <w:bodyDiv w:val="1"/>
      <w:marLeft w:val="0"/>
      <w:marRight w:val="0"/>
      <w:marTop w:val="0"/>
      <w:marBottom w:val="0"/>
      <w:divBdr>
        <w:top w:val="none" w:sz="0" w:space="0" w:color="auto"/>
        <w:left w:val="none" w:sz="0" w:space="0" w:color="auto"/>
        <w:bottom w:val="none" w:sz="0" w:space="0" w:color="auto"/>
        <w:right w:val="none" w:sz="0" w:space="0" w:color="auto"/>
      </w:divBdr>
    </w:div>
    <w:div w:id="299190723">
      <w:bodyDiv w:val="1"/>
      <w:marLeft w:val="0"/>
      <w:marRight w:val="0"/>
      <w:marTop w:val="0"/>
      <w:marBottom w:val="0"/>
      <w:divBdr>
        <w:top w:val="none" w:sz="0" w:space="0" w:color="auto"/>
        <w:left w:val="none" w:sz="0" w:space="0" w:color="auto"/>
        <w:bottom w:val="none" w:sz="0" w:space="0" w:color="auto"/>
        <w:right w:val="none" w:sz="0" w:space="0" w:color="auto"/>
      </w:divBdr>
    </w:div>
    <w:div w:id="522328419">
      <w:bodyDiv w:val="1"/>
      <w:marLeft w:val="0"/>
      <w:marRight w:val="0"/>
      <w:marTop w:val="0"/>
      <w:marBottom w:val="0"/>
      <w:divBdr>
        <w:top w:val="none" w:sz="0" w:space="0" w:color="auto"/>
        <w:left w:val="none" w:sz="0" w:space="0" w:color="auto"/>
        <w:bottom w:val="none" w:sz="0" w:space="0" w:color="auto"/>
        <w:right w:val="none" w:sz="0" w:space="0" w:color="auto"/>
      </w:divBdr>
    </w:div>
    <w:div w:id="789082896">
      <w:bodyDiv w:val="1"/>
      <w:marLeft w:val="0"/>
      <w:marRight w:val="0"/>
      <w:marTop w:val="0"/>
      <w:marBottom w:val="0"/>
      <w:divBdr>
        <w:top w:val="none" w:sz="0" w:space="0" w:color="auto"/>
        <w:left w:val="none" w:sz="0" w:space="0" w:color="auto"/>
        <w:bottom w:val="none" w:sz="0" w:space="0" w:color="auto"/>
        <w:right w:val="none" w:sz="0" w:space="0" w:color="auto"/>
      </w:divBdr>
    </w:div>
    <w:div w:id="1472138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p.org.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ap.org.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kap.org.tr" TargetMode="External"/><Relationship Id="rId4" Type="http://schemas.openxmlformats.org/officeDocument/2006/relationships/webSettings" Target="webSettings.xml"/><Relationship Id="rId9" Type="http://schemas.openxmlformats.org/officeDocument/2006/relationships/hyperlink" Target="http://www.takasbank.com.tr/tr/Sayfalar/TEFAS-Uyele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27</Pages>
  <Words>10284</Words>
  <Characters>58622</Characters>
  <Application>Microsoft Office Word</Application>
  <DocSecurity>0</DocSecurity>
  <Lines>488</Lines>
  <Paragraphs>137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Busra Ozcan</dc:creator>
  <cp:keywords/>
  <dc:description/>
  <cp:lastModifiedBy>Hasibe Kaynak</cp:lastModifiedBy>
  <cp:revision>4</cp:revision>
  <cp:lastPrinted>2023-01-09T12:38:00Z</cp:lastPrinted>
  <dcterms:created xsi:type="dcterms:W3CDTF">2023-01-09T08:23:00Z</dcterms:created>
  <dcterms:modified xsi:type="dcterms:W3CDTF">2023-01-09T12:39:00Z</dcterms:modified>
</cp:coreProperties>
</file>